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9FD" w:rsidRPr="004A0366" w:rsidRDefault="000719FD" w:rsidP="004A0366">
      <w:pPr>
        <w:pStyle w:val="berschrift1"/>
        <w:tabs>
          <w:tab w:val="clear" w:pos="9000"/>
        </w:tabs>
        <w:ind w:right="-2"/>
        <w:jc w:val="both"/>
        <w:rPr>
          <w:sz w:val="36"/>
          <w:szCs w:val="36"/>
          <w:lang w:val="de-DE"/>
        </w:rPr>
      </w:pPr>
      <w:r w:rsidRPr="004A0366">
        <w:rPr>
          <w:sz w:val="36"/>
          <w:szCs w:val="36"/>
          <w:lang w:val="de-DE"/>
        </w:rPr>
        <w:t xml:space="preserve">Der </w:t>
      </w:r>
      <w:r w:rsidR="00A32D48" w:rsidRPr="004A0366">
        <w:rPr>
          <w:sz w:val="36"/>
          <w:szCs w:val="36"/>
          <w:lang w:val="de-DE"/>
        </w:rPr>
        <w:t>Tourismus</w:t>
      </w:r>
      <w:r w:rsidR="00354A2D" w:rsidRPr="004A0366">
        <w:rPr>
          <w:sz w:val="36"/>
          <w:szCs w:val="36"/>
          <w:lang w:val="de-DE"/>
        </w:rPr>
        <w:t xml:space="preserve"> der Stadt Salzburg in Zahlen </w:t>
      </w:r>
      <w:r w:rsidR="00D77380" w:rsidRPr="004A0366">
        <w:rPr>
          <w:sz w:val="36"/>
          <w:szCs w:val="36"/>
          <w:lang w:val="de-DE"/>
        </w:rPr>
        <w:t>2018</w:t>
      </w:r>
    </w:p>
    <w:p w:rsidR="000719FD" w:rsidRPr="00A75817" w:rsidRDefault="000719FD" w:rsidP="003A1318">
      <w:pPr>
        <w:tabs>
          <w:tab w:val="left" w:pos="1956"/>
        </w:tabs>
        <w:jc w:val="both"/>
        <w:outlineLvl w:val="0"/>
        <w:rPr>
          <w:sz w:val="31"/>
          <w:szCs w:val="31"/>
        </w:rPr>
      </w:pPr>
    </w:p>
    <w:p w:rsidR="000719FD" w:rsidRDefault="00C510CC" w:rsidP="003A1318">
      <w:pPr>
        <w:jc w:val="both"/>
        <w:outlineLvl w:val="0"/>
        <w:rPr>
          <w:b/>
        </w:rPr>
      </w:pPr>
      <w:r w:rsidRPr="00C510CC">
        <w:rPr>
          <w:b/>
        </w:rPr>
        <w:t>Salzburg Information</w:t>
      </w:r>
    </w:p>
    <w:p w:rsidR="004A0366" w:rsidRPr="00C510CC" w:rsidRDefault="004A0366" w:rsidP="003A1318">
      <w:pPr>
        <w:jc w:val="both"/>
        <w:outlineLvl w:val="0"/>
        <w:rPr>
          <w:b/>
        </w:rPr>
      </w:pPr>
    </w:p>
    <w:p w:rsidR="000719FD" w:rsidRPr="00C510CC" w:rsidRDefault="000719FD" w:rsidP="003A1318">
      <w:pPr>
        <w:jc w:val="both"/>
        <w:outlineLvl w:val="0"/>
        <w:rPr>
          <w:b/>
        </w:rPr>
      </w:pPr>
      <w:r w:rsidRPr="00C510CC">
        <w:t xml:space="preserve">Die „Salzburg Information“ ist als Tourismusbüro der Stadt für das weltweite touristische Marketing (Werbung, Verkaufsförderung, Information und Produktion, Presse und Öffentlichkeitsarbeit) verantwortlich und bietet dem interessierten Gast </w:t>
      </w:r>
      <w:r w:rsidR="00364443">
        <w:t xml:space="preserve">direkte </w:t>
      </w:r>
      <w:r w:rsidRPr="00C510CC">
        <w:t xml:space="preserve">Unterstützung und Auskunft in zwei Informationsstellen im Stadtbereich. Umfangreicher Service wird natürlich auch online unter </w:t>
      </w:r>
      <w:hyperlink r:id="rId8" w:history="1">
        <w:r w:rsidRPr="00C510CC">
          <w:rPr>
            <w:rStyle w:val="Hyperlink"/>
            <w:color w:val="auto"/>
          </w:rPr>
          <w:t>www.salzburg.info</w:t>
        </w:r>
      </w:hyperlink>
      <w:r w:rsidRPr="00C510CC">
        <w:t xml:space="preserve"> angeboten: Hotelreservierungen, Informationen über Kulturveranstaltungen, Links zu allen wichtigen Leistungsträgern, Social </w:t>
      </w:r>
      <w:r w:rsidR="00E1589E">
        <w:t>Media</w:t>
      </w:r>
      <w:r w:rsidRPr="00C510CC">
        <w:t>, Wetterprognose, Webcam, Fotos, Filme usw.</w:t>
      </w:r>
    </w:p>
    <w:p w:rsidR="000719FD" w:rsidRPr="00C510CC" w:rsidRDefault="000719FD" w:rsidP="003A1318">
      <w:pPr>
        <w:jc w:val="both"/>
        <w:outlineLvl w:val="0"/>
        <w:rPr>
          <w:b/>
        </w:rPr>
      </w:pPr>
    </w:p>
    <w:p w:rsidR="000719FD" w:rsidRPr="00C510CC" w:rsidRDefault="000719FD" w:rsidP="003A1318">
      <w:pPr>
        <w:jc w:val="both"/>
      </w:pPr>
      <w:r w:rsidRPr="003A78DA">
        <w:t xml:space="preserve">Die Stadt Salzburg ist die Hauptstadt des gleichnamigen österreichischen Bundeslandes und hat </w:t>
      </w:r>
      <w:r w:rsidR="00E551C6" w:rsidRPr="003A78DA">
        <w:t>15</w:t>
      </w:r>
      <w:r w:rsidR="003A78DA" w:rsidRPr="003A78DA">
        <w:t>5</w:t>
      </w:r>
      <w:r w:rsidRPr="003A78DA">
        <w:t>.</w:t>
      </w:r>
      <w:r w:rsidR="003A78DA" w:rsidRPr="003A78DA">
        <w:t>886</w:t>
      </w:r>
      <w:r w:rsidRPr="003A78DA">
        <w:t xml:space="preserve"> Einwohner</w:t>
      </w:r>
      <w:r w:rsidR="003A78DA" w:rsidRPr="003A78DA">
        <w:t xml:space="preserve"> (Stand: 1.1.2019</w:t>
      </w:r>
      <w:r w:rsidR="005204DF" w:rsidRPr="003A78DA">
        <w:t>)</w:t>
      </w:r>
      <w:r w:rsidRPr="003A78DA">
        <w:t xml:space="preserve">. Es gibt jährlich ca. 4.500 kulturelle Veranstaltungen mit künstlerischen Höhepunkten </w:t>
      </w:r>
      <w:r w:rsidR="00364443">
        <w:t>wie u.a. der Mozartwoche, den</w:t>
      </w:r>
      <w:r w:rsidRPr="00C510CC">
        <w:t xml:space="preserve"> Osterfestspiele</w:t>
      </w:r>
      <w:r w:rsidR="00364443">
        <w:t>n</w:t>
      </w:r>
      <w:r w:rsidRPr="00C510CC">
        <w:t>, d</w:t>
      </w:r>
      <w:r w:rsidR="00364443">
        <w:t>en</w:t>
      </w:r>
      <w:r w:rsidRPr="00C510CC">
        <w:t xml:space="preserve"> Pfingstfestspiele</w:t>
      </w:r>
      <w:r w:rsidR="00364443">
        <w:t>n, den</w:t>
      </w:r>
      <w:r w:rsidRPr="00C510CC">
        <w:t xml:space="preserve"> Sommerfestspiele</w:t>
      </w:r>
      <w:r w:rsidR="00364443">
        <w:t>n, der Sommerszene oder den</w:t>
      </w:r>
      <w:r w:rsidRPr="00C510CC">
        <w:t xml:space="preserve"> Kulturtage</w:t>
      </w:r>
      <w:r w:rsidR="00364443">
        <w:t>n</w:t>
      </w:r>
      <w:r w:rsidRPr="00C510CC">
        <w:t xml:space="preserve"> im Herbst sowie </w:t>
      </w:r>
      <w:r w:rsidR="005204DF">
        <w:t>diverse</w:t>
      </w:r>
      <w:r w:rsidR="00364443">
        <w:t>n</w:t>
      </w:r>
      <w:r w:rsidR="00A36298">
        <w:t xml:space="preserve"> Adventsingen. N</w:t>
      </w:r>
      <w:r w:rsidRPr="00C510CC">
        <w:t>eben der Bundeshauptstadt Wien ist Salzburg die wichtigste Städtetourismus-Destination Österreichs. Die Geburtsstadt W. A. Mozarts ist seit 199</w:t>
      </w:r>
      <w:r w:rsidR="008340AB">
        <w:t>7</w:t>
      </w:r>
      <w:r w:rsidRPr="00C510CC">
        <w:t xml:space="preserve"> auf der Liste der UNESCO als Weltkulturerbe.</w:t>
      </w:r>
    </w:p>
    <w:p w:rsidR="000719FD" w:rsidRPr="00C510CC" w:rsidRDefault="000719FD" w:rsidP="003A1318">
      <w:pPr>
        <w:jc w:val="both"/>
      </w:pPr>
    </w:p>
    <w:p w:rsidR="000719FD" w:rsidRDefault="009F27D8" w:rsidP="004C58F3">
      <w:pPr>
        <w:jc w:val="both"/>
      </w:pPr>
      <w:r>
        <w:t xml:space="preserve">Die Alleinstellungsmerkmale Salzburgs sind Mozart, „The Sound of Music“, die UNESCO-geadelte Barockstadt, die Festspiele und der Advent inkl. „Stille Nacht! Heilige Nacht!“. Ein Blick auf die globale Berichterstattung zeigt die Anziehungskraft </w:t>
      </w:r>
      <w:r w:rsidRPr="004C58F3">
        <w:t>Salzburgs</w:t>
      </w:r>
      <w:r w:rsidR="00B3066F" w:rsidRPr="004C58F3">
        <w:t xml:space="preserve">: </w:t>
      </w:r>
      <w:r w:rsidR="00D7657E">
        <w:t>Beim „</w:t>
      </w:r>
      <w:proofErr w:type="spellStart"/>
      <w:r w:rsidR="00D7657E">
        <w:t>Reader’s</w:t>
      </w:r>
      <w:proofErr w:type="spellEnd"/>
      <w:r w:rsidR="00D7657E">
        <w:t xml:space="preserve"> Choice Award“ von Condé Nast </w:t>
      </w:r>
      <w:proofErr w:type="spellStart"/>
      <w:r w:rsidR="00D7657E">
        <w:t>Traveler</w:t>
      </w:r>
      <w:proofErr w:type="spellEnd"/>
      <w:r w:rsidR="00D7657E">
        <w:t xml:space="preserve"> wurde Salzburg als beste Kleinstadt Europas und auf Platz zwei </w:t>
      </w:r>
      <w:r w:rsidR="00E1589E">
        <w:t>der Welt</w:t>
      </w:r>
      <w:r w:rsidR="00D7657E">
        <w:t xml:space="preserve"> gewählt. Die Reise-Website </w:t>
      </w:r>
      <w:proofErr w:type="spellStart"/>
      <w:r w:rsidR="00D7657E">
        <w:t>Tripadvisor</w:t>
      </w:r>
      <w:proofErr w:type="spellEnd"/>
      <w:r w:rsidR="00D7657E">
        <w:t xml:space="preserve"> ® veröffentlichte 2018 zum ersten Mal ein Ranking der besten </w:t>
      </w:r>
      <w:r w:rsidR="00E1589E">
        <w:t xml:space="preserve">globalen </w:t>
      </w:r>
      <w:r w:rsidR="00D7657E">
        <w:t xml:space="preserve">Reiseerlebnisse und reihte die „Sound of Music“-Tour als einziges österreichisches Angebot unter die Top 25. </w:t>
      </w:r>
      <w:r w:rsidR="004C58F3" w:rsidRPr="004C58F3">
        <w:t xml:space="preserve">Im Zuge der medialen Präsenz des 200-Jahr-Jubiläums von „Stille Nacht! Heilige Nacht!“ wurde der Salzburger Advent weltweit platziert. </w:t>
      </w:r>
      <w:r w:rsidR="004C58F3">
        <w:t>Die britische Tageszeitung „The Times“ wählte d</w:t>
      </w:r>
      <w:r w:rsidR="004C58F3" w:rsidRPr="004C58F3">
        <w:t>en Salzburger Christkindlmarkt am Dom- und Residenzplatz</w:t>
      </w:r>
      <w:r w:rsidR="004C58F3">
        <w:t xml:space="preserve"> auf Platz 3 der schönsten europäischen Adventmärkte. </w:t>
      </w:r>
    </w:p>
    <w:p w:rsidR="000719FD" w:rsidRPr="00C510CC" w:rsidRDefault="000719FD" w:rsidP="003A1318">
      <w:pPr>
        <w:jc w:val="both"/>
        <w:outlineLvl w:val="0"/>
        <w:rPr>
          <w:b/>
        </w:rPr>
      </w:pPr>
    </w:p>
    <w:p w:rsidR="000719FD" w:rsidRDefault="000719FD" w:rsidP="003A1318">
      <w:pPr>
        <w:jc w:val="both"/>
        <w:outlineLvl w:val="0"/>
        <w:rPr>
          <w:b/>
        </w:rPr>
      </w:pPr>
      <w:r w:rsidRPr="00C510CC">
        <w:rPr>
          <w:b/>
        </w:rPr>
        <w:t>Gäste</w:t>
      </w:r>
      <w:r w:rsidR="00B3066F">
        <w:rPr>
          <w:b/>
        </w:rPr>
        <w:t>ankünfte und Übernachtungen 2018</w:t>
      </w:r>
    </w:p>
    <w:p w:rsidR="004A0366" w:rsidRPr="00C510CC" w:rsidRDefault="004A0366" w:rsidP="003A1318">
      <w:pPr>
        <w:jc w:val="both"/>
        <w:outlineLvl w:val="0"/>
        <w:rPr>
          <w:b/>
        </w:rPr>
      </w:pPr>
    </w:p>
    <w:p w:rsidR="000719FD" w:rsidRPr="00C510CC" w:rsidRDefault="000719FD" w:rsidP="003A1318">
      <w:pPr>
        <w:jc w:val="both"/>
        <w:rPr>
          <w:bCs/>
        </w:rPr>
      </w:pPr>
      <w:r w:rsidRPr="00C510CC">
        <w:t xml:space="preserve">Gesamtankünfte: </w:t>
      </w:r>
      <w:r w:rsidR="002C3008">
        <w:t>1.821.303</w:t>
      </w:r>
      <w:r w:rsidRPr="00C510CC">
        <w:t xml:space="preserve"> (20</w:t>
      </w:r>
      <w:r w:rsidR="004127AB">
        <w:t>1</w:t>
      </w:r>
      <w:r w:rsidR="00B3066F">
        <w:t>7</w:t>
      </w:r>
      <w:r w:rsidRPr="00C510CC">
        <w:t xml:space="preserve">: </w:t>
      </w:r>
      <w:r w:rsidR="00B3066F">
        <w:t>1.758.056</w:t>
      </w:r>
      <w:r w:rsidRPr="00C510CC">
        <w:t xml:space="preserve">) </w:t>
      </w:r>
    </w:p>
    <w:p w:rsidR="000719FD" w:rsidRPr="00C510CC" w:rsidRDefault="000719FD" w:rsidP="003A1318">
      <w:pPr>
        <w:jc w:val="both"/>
      </w:pPr>
      <w:r w:rsidRPr="00C510CC">
        <w:t>Ankün</w:t>
      </w:r>
      <w:r w:rsidR="004127AB">
        <w:t xml:space="preserve">fte: </w:t>
      </w:r>
      <w:r w:rsidR="002C3008" w:rsidRPr="002C3008">
        <w:t>+3,6</w:t>
      </w:r>
      <w:r w:rsidR="002C3008">
        <w:t xml:space="preserve"> </w:t>
      </w:r>
      <w:r w:rsidR="002C3008" w:rsidRPr="002C3008">
        <w:t xml:space="preserve">% </w:t>
      </w:r>
      <w:r w:rsidR="00B3066F">
        <w:t>im Vergleich zu 2017</w:t>
      </w:r>
    </w:p>
    <w:p w:rsidR="000719FD" w:rsidRPr="00C510CC" w:rsidRDefault="000719FD" w:rsidP="003A1318">
      <w:pPr>
        <w:jc w:val="both"/>
      </w:pPr>
      <w:r w:rsidRPr="00C510CC">
        <w:t>Gesam</w:t>
      </w:r>
      <w:r w:rsidR="004127AB">
        <w:t xml:space="preserve">tübernachtungen: </w:t>
      </w:r>
      <w:r w:rsidR="002C3008">
        <w:t>3.141.005</w:t>
      </w:r>
      <w:r w:rsidR="00B3066F">
        <w:t xml:space="preserve"> (2017: 3.043.552</w:t>
      </w:r>
      <w:r w:rsidRPr="00C510CC">
        <w:t xml:space="preserve">) </w:t>
      </w:r>
      <w:r w:rsidRPr="00C510CC">
        <w:rPr>
          <w:bCs/>
        </w:rPr>
        <w:t xml:space="preserve"> </w:t>
      </w:r>
    </w:p>
    <w:p w:rsidR="000719FD" w:rsidRPr="00C510CC" w:rsidRDefault="000719FD" w:rsidP="003A1318">
      <w:pPr>
        <w:jc w:val="both"/>
      </w:pPr>
      <w:r w:rsidRPr="00C510CC">
        <w:t>Übernachtun</w:t>
      </w:r>
      <w:r w:rsidR="004127AB">
        <w:t xml:space="preserve">gen: </w:t>
      </w:r>
      <w:r w:rsidR="002C3008" w:rsidRPr="002C3008">
        <w:t>+3,2 %</w:t>
      </w:r>
      <w:r w:rsidR="00E1589E">
        <w:t xml:space="preserve"> </w:t>
      </w:r>
      <w:r w:rsidR="00B3066F" w:rsidRPr="002C3008">
        <w:t>i</w:t>
      </w:r>
      <w:r w:rsidR="00B3066F">
        <w:t>m Vergleich zu 2017</w:t>
      </w:r>
    </w:p>
    <w:p w:rsidR="000719FD" w:rsidRPr="00C510CC" w:rsidRDefault="000719FD" w:rsidP="003A1318">
      <w:pPr>
        <w:jc w:val="both"/>
        <w:outlineLvl w:val="0"/>
      </w:pPr>
    </w:p>
    <w:p w:rsidR="002C3008" w:rsidRDefault="002C3008" w:rsidP="00A36298">
      <w:pPr>
        <w:jc w:val="both"/>
        <w:rPr>
          <w:lang w:val="de-DE"/>
        </w:rPr>
      </w:pPr>
      <w:r>
        <w:rPr>
          <w:lang w:val="de-DE"/>
        </w:rPr>
        <w:t xml:space="preserve">Mit </w:t>
      </w:r>
      <w:r w:rsidRPr="00E37C7F">
        <w:rPr>
          <w:lang w:val="de-DE"/>
        </w:rPr>
        <w:t xml:space="preserve">1.821.303 </w:t>
      </w:r>
      <w:r>
        <w:rPr>
          <w:lang w:val="de-DE"/>
        </w:rPr>
        <w:t xml:space="preserve">Ankünften (+3,6 %) und </w:t>
      </w:r>
      <w:r w:rsidRPr="00E37C7F">
        <w:rPr>
          <w:lang w:val="de-DE"/>
        </w:rPr>
        <w:t>3.</w:t>
      </w:r>
      <w:r>
        <w:rPr>
          <w:lang w:val="de-DE"/>
        </w:rPr>
        <w:t>141.005</w:t>
      </w:r>
      <w:r>
        <w:rPr>
          <w:color w:val="000000"/>
          <w:sz w:val="20"/>
          <w:szCs w:val="20"/>
          <w:lang w:val="de-DE"/>
        </w:rPr>
        <w:t xml:space="preserve"> </w:t>
      </w:r>
      <w:r>
        <w:rPr>
          <w:lang w:val="de-DE"/>
        </w:rPr>
        <w:t xml:space="preserve">Nächtigungen (+3,2 %) hat der Tourismus in der Stadt Salzburg im Jahr 2018 für eine erfolgreiche Bilanz gesorgt. Besonders erfreulich ist dabei das Wachstum der wichtigsten Herkunftsländer: Die Nächtigungen aus Österreich stiegen um 1,79 % auf 728.039, jene aus Deutschland um 3,88 % auf 628.101 und auch aus den USA konnten um 7,61 % mehr Nächtigungen lukriert werden (271.389 Nächtigungen). Auf Platz 4 und 5 der wichtigsten Märkte folgen die UK (133.345 Nächtigungen, +7,87 %) und China (129.710 Nächtigungen, +1,44 %). Das ergibt einen Marktanteil von 4,2 % für die britischen und 4,1 % für die chinesischen Gäste.  </w:t>
      </w:r>
    </w:p>
    <w:p w:rsidR="002C3008" w:rsidRDefault="002C3008" w:rsidP="002C3008">
      <w:pPr>
        <w:rPr>
          <w:lang w:val="de-DE"/>
        </w:rPr>
      </w:pPr>
    </w:p>
    <w:p w:rsidR="000719FD" w:rsidRPr="00C510CC" w:rsidRDefault="002C3008" w:rsidP="00A36298">
      <w:pPr>
        <w:jc w:val="both"/>
      </w:pPr>
      <w:r>
        <w:rPr>
          <w:lang w:val="de-DE"/>
        </w:rPr>
        <w:lastRenderedPageBreak/>
        <w:t>Trotz der leicht gestiegenen Bettenanzahl auf rund 13.000 konnte die Bettenauslastung weiter gesteigert werden und liegt bei 61,23 %, was einer Zimmerauslastung von etwa 80 Prozent entspricht</w:t>
      </w:r>
      <w:r w:rsidRPr="007D72D0">
        <w:rPr>
          <w:lang w:val="de-DE"/>
        </w:rPr>
        <w:t xml:space="preserve">. </w:t>
      </w:r>
      <w:r w:rsidR="000719FD" w:rsidRPr="002C3008">
        <w:t xml:space="preserve">Die durchschnittliche Aufenthaltsdauer </w:t>
      </w:r>
      <w:r w:rsidR="00870348" w:rsidRPr="002C3008">
        <w:t>ist</w:t>
      </w:r>
      <w:r w:rsidR="000719FD" w:rsidRPr="002C3008">
        <w:t xml:space="preserve"> seit Jahren </w:t>
      </w:r>
      <w:r w:rsidR="00870348" w:rsidRPr="002C3008">
        <w:t>stabil, auch</w:t>
      </w:r>
      <w:r w:rsidR="004127AB" w:rsidRPr="002C3008">
        <w:t xml:space="preserve"> im Jahr 201</w:t>
      </w:r>
      <w:r w:rsidRPr="002C3008">
        <w:t>8</w:t>
      </w:r>
      <w:r w:rsidR="000719FD" w:rsidRPr="002C3008">
        <w:t xml:space="preserve"> </w:t>
      </w:r>
      <w:r w:rsidR="00870348" w:rsidRPr="002C3008">
        <w:t xml:space="preserve">blieb sie </w:t>
      </w:r>
      <w:r w:rsidR="000719FD" w:rsidRPr="002C3008">
        <w:t>mit 1,7 Tagen gegenüber 201</w:t>
      </w:r>
      <w:r w:rsidRPr="002C3008">
        <w:t>7</w:t>
      </w:r>
      <w:r w:rsidR="000719FD" w:rsidRPr="002C3008">
        <w:t xml:space="preserve"> unverändert.</w:t>
      </w:r>
      <w:r w:rsidR="000719FD" w:rsidRPr="00C510CC">
        <w:t xml:space="preserve"> </w:t>
      </w:r>
    </w:p>
    <w:p w:rsidR="000719FD" w:rsidRDefault="000719FD" w:rsidP="003A1318">
      <w:pPr>
        <w:jc w:val="both"/>
        <w:rPr>
          <w:b/>
        </w:rPr>
      </w:pPr>
    </w:p>
    <w:p w:rsidR="000719FD" w:rsidRDefault="000719FD" w:rsidP="003A1318">
      <w:pPr>
        <w:jc w:val="both"/>
        <w:rPr>
          <w:b/>
        </w:rPr>
      </w:pPr>
      <w:r w:rsidRPr="00C510CC">
        <w:rPr>
          <w:b/>
        </w:rPr>
        <w:t>Gesamtanteil der 10 größten Herkunftsländer an den Übernachtungs</w:t>
      </w:r>
      <w:r w:rsidR="00C510CC" w:rsidRPr="00C510CC">
        <w:rPr>
          <w:b/>
        </w:rPr>
        <w:t>zahlen</w:t>
      </w:r>
    </w:p>
    <w:p w:rsidR="004A0366" w:rsidRPr="00C510CC" w:rsidRDefault="004A0366" w:rsidP="003A1318">
      <w:pPr>
        <w:jc w:val="both"/>
        <w:rPr>
          <w:b/>
        </w:rPr>
      </w:pPr>
    </w:p>
    <w:p w:rsidR="009B05CC" w:rsidRDefault="00C510CC" w:rsidP="009B05CC">
      <w:pPr>
        <w:jc w:val="both"/>
      </w:pPr>
      <w:r w:rsidRPr="0016310C">
        <w:t>Die wichtigsten Herkunftsländer mit jeweils über 100</w:t>
      </w:r>
      <w:r w:rsidR="0016310C" w:rsidRPr="0016310C">
        <w:t>.000 Übernachtungen im Jahr 201</w:t>
      </w:r>
      <w:r w:rsidR="003421BA">
        <w:t>8</w:t>
      </w:r>
      <w:r w:rsidRPr="0016310C">
        <w:t xml:space="preserve"> waren: </w:t>
      </w:r>
      <w:r w:rsidRPr="00457470">
        <w:t>Österreich, Deutschland, USA, Großbritannien</w:t>
      </w:r>
      <w:r w:rsidR="00457470" w:rsidRPr="00457470">
        <w:t>, China</w:t>
      </w:r>
      <w:r w:rsidRPr="00457470">
        <w:t xml:space="preserve"> und </w:t>
      </w:r>
      <w:r w:rsidR="0016310C" w:rsidRPr="00457470">
        <w:t>Italien</w:t>
      </w:r>
      <w:r w:rsidR="006B3171" w:rsidRPr="00457470">
        <w:t>.</w:t>
      </w:r>
      <w:r w:rsidR="00C206E6">
        <w:t xml:space="preserve"> </w:t>
      </w:r>
      <w:r w:rsidR="00C206E6" w:rsidRPr="00457470">
        <w:t>Die</w:t>
      </w:r>
      <w:r w:rsidR="00C206E6">
        <w:t>se</w:t>
      </w:r>
      <w:r w:rsidR="00C206E6" w:rsidRPr="00457470">
        <w:t xml:space="preserve"> sechs Länder</w:t>
      </w:r>
      <w:r w:rsidR="00C206E6">
        <w:t xml:space="preserve"> s</w:t>
      </w:r>
      <w:r w:rsidR="00C206E6" w:rsidRPr="00457470">
        <w:t>ind gemeinsam für 64</w:t>
      </w:r>
      <w:r w:rsidR="00E1589E">
        <w:t xml:space="preserve"> </w:t>
      </w:r>
      <w:r w:rsidR="00C206E6" w:rsidRPr="00457470">
        <w:t>% de</w:t>
      </w:r>
      <w:r w:rsidR="00C206E6">
        <w:t>r Übernachtungen verantwortlich; bereits d</w:t>
      </w:r>
      <w:r w:rsidR="00457470" w:rsidRPr="00457470">
        <w:t xml:space="preserve">ie Top 3 der Herkunftsländer machen mehr als die Hälfte aller Nächtigungen aus (51,8 %). </w:t>
      </w:r>
      <w:r w:rsidR="009B05CC" w:rsidRPr="00457470">
        <w:t>46</w:t>
      </w:r>
      <w:r w:rsidR="00E1589E">
        <w:t xml:space="preserve"> </w:t>
      </w:r>
      <w:r w:rsidR="009B05CC" w:rsidRPr="00457470">
        <w:t>% der Gäste kamen 201</w:t>
      </w:r>
      <w:r w:rsidR="00457470" w:rsidRPr="00457470">
        <w:t>8</w:t>
      </w:r>
      <w:r w:rsidR="009B05CC" w:rsidRPr="00457470">
        <w:t xml:space="preserve"> aus dem deutschsprachigem Raum, nämlich Österreich, Deutschland und der Schweiz. </w:t>
      </w:r>
    </w:p>
    <w:p w:rsidR="00457470" w:rsidRPr="00457470" w:rsidRDefault="00457470" w:rsidP="009B05CC">
      <w:pPr>
        <w:jc w:val="both"/>
      </w:pPr>
    </w:p>
    <w:p w:rsidR="009B05CC" w:rsidRDefault="0016310C" w:rsidP="003A1318">
      <w:pPr>
        <w:jc w:val="both"/>
      </w:pPr>
      <w:r w:rsidRPr="003F3C71">
        <w:t xml:space="preserve">Unter den Top Ten befinden sich fünf Fernmärkte, eine Verschiebung zum Vorjahr gab es vor allem aus den asiatischen Ländern: </w:t>
      </w:r>
      <w:r w:rsidR="00F4575A" w:rsidRPr="003F3C71">
        <w:t xml:space="preserve">China </w:t>
      </w:r>
      <w:r w:rsidR="00457470" w:rsidRPr="003F3C71">
        <w:t xml:space="preserve">verlor einen Platz </w:t>
      </w:r>
      <w:r w:rsidR="003F3C71" w:rsidRPr="003F3C71">
        <w:t xml:space="preserve">und liegt nun an fünfter Stelle, </w:t>
      </w:r>
      <w:r w:rsidR="00457470" w:rsidRPr="003F3C71">
        <w:t xml:space="preserve">die Schweiz konnte sich wieder vor Südkorea </w:t>
      </w:r>
      <w:r w:rsidR="003F3C71" w:rsidRPr="003F3C71">
        <w:t>auf den siebten Platz schieben und Australien wurde durch Südostasien aus den Top Ten verwiesen.</w:t>
      </w:r>
      <w:r w:rsidR="00F4575A">
        <w:t xml:space="preserve"> </w:t>
      </w:r>
    </w:p>
    <w:p w:rsidR="00C510CC" w:rsidRPr="00C510CC" w:rsidRDefault="00C510CC" w:rsidP="003A1318">
      <w:pPr>
        <w:jc w:val="both"/>
        <w:rPr>
          <w:b/>
        </w:rPr>
      </w:pPr>
    </w:p>
    <w:tbl>
      <w:tblPr>
        <w:tblW w:w="9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275"/>
        <w:gridCol w:w="993"/>
        <w:gridCol w:w="2409"/>
        <w:gridCol w:w="1276"/>
        <w:gridCol w:w="960"/>
      </w:tblGrid>
      <w:tr w:rsidR="00C510CC" w:rsidRPr="00C510CC" w:rsidTr="00E1589E">
        <w:trPr>
          <w:trHeight w:val="418"/>
        </w:trPr>
        <w:tc>
          <w:tcPr>
            <w:tcW w:w="2307" w:type="dxa"/>
            <w:tcBorders>
              <w:bottom w:val="single" w:sz="4" w:space="0" w:color="auto"/>
            </w:tcBorders>
            <w:shd w:val="clear" w:color="auto" w:fill="D9D9D9"/>
          </w:tcPr>
          <w:p w:rsidR="000719FD" w:rsidRPr="00C510CC" w:rsidRDefault="000719FD" w:rsidP="003A1318">
            <w:pPr>
              <w:spacing w:before="120"/>
              <w:jc w:val="both"/>
              <w:rPr>
                <w:b/>
              </w:rPr>
            </w:pPr>
            <w:r w:rsidRPr="00C510CC">
              <w:rPr>
                <w:b/>
              </w:rPr>
              <w:t>201</w:t>
            </w:r>
            <w:r w:rsidR="003421BA">
              <w:rPr>
                <w:b/>
              </w:rPr>
              <w:t>8</w:t>
            </w:r>
          </w:p>
        </w:tc>
        <w:tc>
          <w:tcPr>
            <w:tcW w:w="1275" w:type="dxa"/>
            <w:tcBorders>
              <w:bottom w:val="single" w:sz="4" w:space="0" w:color="auto"/>
            </w:tcBorders>
            <w:shd w:val="clear" w:color="auto" w:fill="D9D9D9"/>
          </w:tcPr>
          <w:p w:rsidR="000719FD" w:rsidRPr="00C510CC" w:rsidRDefault="000719FD" w:rsidP="003A1318">
            <w:pPr>
              <w:spacing w:before="120"/>
              <w:jc w:val="both"/>
              <w:rPr>
                <w:b/>
              </w:rPr>
            </w:pPr>
            <w:r w:rsidRPr="00C510CC">
              <w:rPr>
                <w:b/>
              </w:rPr>
              <w:t>absolut</w:t>
            </w:r>
          </w:p>
        </w:tc>
        <w:tc>
          <w:tcPr>
            <w:tcW w:w="993" w:type="dxa"/>
            <w:tcBorders>
              <w:bottom w:val="single" w:sz="4" w:space="0" w:color="auto"/>
            </w:tcBorders>
            <w:shd w:val="clear" w:color="auto" w:fill="D9D9D9"/>
          </w:tcPr>
          <w:p w:rsidR="000719FD" w:rsidRPr="00C510CC" w:rsidRDefault="000719FD" w:rsidP="003A1318">
            <w:pPr>
              <w:spacing w:before="120"/>
              <w:jc w:val="both"/>
              <w:rPr>
                <w:b/>
              </w:rPr>
            </w:pPr>
            <w:r w:rsidRPr="00C510CC">
              <w:rPr>
                <w:b/>
              </w:rPr>
              <w:t>Anteil in %</w:t>
            </w:r>
          </w:p>
        </w:tc>
        <w:tc>
          <w:tcPr>
            <w:tcW w:w="2409" w:type="dxa"/>
            <w:tcBorders>
              <w:bottom w:val="single" w:sz="4" w:space="0" w:color="auto"/>
            </w:tcBorders>
            <w:shd w:val="clear" w:color="auto" w:fill="D9D9D9"/>
          </w:tcPr>
          <w:p w:rsidR="000719FD" w:rsidRPr="00C510CC" w:rsidRDefault="000719FD" w:rsidP="003A1318">
            <w:pPr>
              <w:spacing w:before="120"/>
              <w:jc w:val="both"/>
              <w:rPr>
                <w:b/>
              </w:rPr>
            </w:pPr>
            <w:r w:rsidRPr="00C510CC">
              <w:rPr>
                <w:b/>
              </w:rPr>
              <w:t>201</w:t>
            </w:r>
            <w:r w:rsidR="003421BA">
              <w:rPr>
                <w:b/>
              </w:rPr>
              <w:t>7</w:t>
            </w:r>
          </w:p>
        </w:tc>
        <w:tc>
          <w:tcPr>
            <w:tcW w:w="1276" w:type="dxa"/>
            <w:tcBorders>
              <w:bottom w:val="single" w:sz="4" w:space="0" w:color="auto"/>
            </w:tcBorders>
            <w:shd w:val="clear" w:color="auto" w:fill="D9D9D9"/>
          </w:tcPr>
          <w:p w:rsidR="000719FD" w:rsidRPr="00C510CC" w:rsidRDefault="000719FD" w:rsidP="003A1318">
            <w:pPr>
              <w:spacing w:before="120"/>
              <w:jc w:val="both"/>
              <w:rPr>
                <w:b/>
              </w:rPr>
            </w:pPr>
            <w:r w:rsidRPr="00C510CC">
              <w:rPr>
                <w:b/>
              </w:rPr>
              <w:t>absolut</w:t>
            </w:r>
          </w:p>
        </w:tc>
        <w:tc>
          <w:tcPr>
            <w:tcW w:w="960" w:type="dxa"/>
            <w:tcBorders>
              <w:bottom w:val="single" w:sz="4" w:space="0" w:color="auto"/>
            </w:tcBorders>
            <w:shd w:val="clear" w:color="auto" w:fill="D9D9D9"/>
          </w:tcPr>
          <w:p w:rsidR="000719FD" w:rsidRPr="00C510CC" w:rsidRDefault="000719FD" w:rsidP="00E1589E">
            <w:pPr>
              <w:spacing w:before="120"/>
              <w:jc w:val="both"/>
              <w:rPr>
                <w:b/>
              </w:rPr>
            </w:pPr>
            <w:r w:rsidRPr="00C510CC">
              <w:rPr>
                <w:b/>
              </w:rPr>
              <w:t>Anteil in %</w:t>
            </w:r>
          </w:p>
        </w:tc>
      </w:tr>
      <w:tr w:rsidR="00C510CC" w:rsidRPr="00C510CC" w:rsidTr="00E1589E">
        <w:trPr>
          <w:trHeight w:val="418"/>
        </w:trPr>
        <w:tc>
          <w:tcPr>
            <w:tcW w:w="2307" w:type="dxa"/>
            <w:tcBorders>
              <w:bottom w:val="nil"/>
            </w:tcBorders>
            <w:shd w:val="clear" w:color="auto" w:fill="FFFFFF"/>
          </w:tcPr>
          <w:p w:rsidR="000719FD" w:rsidRPr="00294E7E" w:rsidRDefault="000719FD" w:rsidP="003A1318">
            <w:pPr>
              <w:spacing w:before="120"/>
              <w:jc w:val="both"/>
              <w:rPr>
                <w:b/>
              </w:rPr>
            </w:pPr>
          </w:p>
        </w:tc>
        <w:tc>
          <w:tcPr>
            <w:tcW w:w="1275" w:type="dxa"/>
            <w:tcBorders>
              <w:bottom w:val="nil"/>
            </w:tcBorders>
            <w:shd w:val="clear" w:color="auto" w:fill="FFFFFF"/>
          </w:tcPr>
          <w:p w:rsidR="000719FD" w:rsidRPr="00294E7E" w:rsidRDefault="000719FD" w:rsidP="003A1318">
            <w:pPr>
              <w:spacing w:before="120"/>
              <w:jc w:val="both"/>
              <w:rPr>
                <w:b/>
              </w:rPr>
            </w:pPr>
          </w:p>
        </w:tc>
        <w:tc>
          <w:tcPr>
            <w:tcW w:w="993" w:type="dxa"/>
            <w:tcBorders>
              <w:bottom w:val="nil"/>
            </w:tcBorders>
            <w:shd w:val="clear" w:color="auto" w:fill="FFFFFF"/>
          </w:tcPr>
          <w:p w:rsidR="000719FD" w:rsidRPr="00457470" w:rsidRDefault="000719FD" w:rsidP="003A1318">
            <w:pPr>
              <w:spacing w:before="120"/>
              <w:jc w:val="both"/>
              <w:rPr>
                <w:b/>
              </w:rPr>
            </w:pPr>
          </w:p>
        </w:tc>
        <w:tc>
          <w:tcPr>
            <w:tcW w:w="2409" w:type="dxa"/>
            <w:tcBorders>
              <w:bottom w:val="nil"/>
            </w:tcBorders>
            <w:shd w:val="clear" w:color="auto" w:fill="FFFFFF"/>
          </w:tcPr>
          <w:p w:rsidR="000719FD" w:rsidRPr="00C510CC" w:rsidRDefault="000719FD" w:rsidP="003A1318">
            <w:pPr>
              <w:spacing w:before="120"/>
              <w:jc w:val="both"/>
              <w:rPr>
                <w:b/>
              </w:rPr>
            </w:pPr>
          </w:p>
        </w:tc>
        <w:tc>
          <w:tcPr>
            <w:tcW w:w="1276" w:type="dxa"/>
            <w:tcBorders>
              <w:bottom w:val="nil"/>
            </w:tcBorders>
            <w:shd w:val="clear" w:color="auto" w:fill="FFFFFF"/>
          </w:tcPr>
          <w:p w:rsidR="000719FD" w:rsidRPr="00C510CC" w:rsidRDefault="000719FD" w:rsidP="003A1318">
            <w:pPr>
              <w:spacing w:before="120"/>
              <w:jc w:val="both"/>
              <w:rPr>
                <w:b/>
              </w:rPr>
            </w:pPr>
          </w:p>
        </w:tc>
        <w:tc>
          <w:tcPr>
            <w:tcW w:w="960" w:type="dxa"/>
            <w:tcBorders>
              <w:bottom w:val="nil"/>
            </w:tcBorders>
            <w:shd w:val="clear" w:color="auto" w:fill="FFFFFF"/>
          </w:tcPr>
          <w:p w:rsidR="000719FD" w:rsidRPr="00C510CC" w:rsidRDefault="000719FD" w:rsidP="003A1318">
            <w:pPr>
              <w:spacing w:before="120"/>
              <w:jc w:val="both"/>
              <w:rPr>
                <w:b/>
              </w:rPr>
            </w:pPr>
          </w:p>
        </w:tc>
      </w:tr>
      <w:tr w:rsidR="003421BA" w:rsidRPr="00C510CC" w:rsidTr="00E1589E">
        <w:trPr>
          <w:trHeight w:val="290"/>
        </w:trPr>
        <w:tc>
          <w:tcPr>
            <w:tcW w:w="2307" w:type="dxa"/>
            <w:tcBorders>
              <w:top w:val="nil"/>
            </w:tcBorders>
          </w:tcPr>
          <w:p w:rsidR="003421BA" w:rsidRPr="00294E7E" w:rsidRDefault="003421BA" w:rsidP="003421BA">
            <w:pPr>
              <w:spacing w:after="40" w:line="360" w:lineRule="auto"/>
              <w:jc w:val="both"/>
            </w:pPr>
            <w:r w:rsidRPr="00294E7E">
              <w:t>1. Österreich</w:t>
            </w:r>
          </w:p>
          <w:p w:rsidR="003421BA" w:rsidRPr="00294E7E" w:rsidRDefault="003421BA" w:rsidP="003421BA">
            <w:pPr>
              <w:spacing w:after="40" w:line="360" w:lineRule="auto"/>
              <w:jc w:val="both"/>
            </w:pPr>
            <w:r w:rsidRPr="00294E7E">
              <w:t>2. Deutschland</w:t>
            </w:r>
          </w:p>
          <w:p w:rsidR="003421BA" w:rsidRPr="00294E7E" w:rsidRDefault="003421BA" w:rsidP="003421BA">
            <w:pPr>
              <w:spacing w:after="40" w:line="360" w:lineRule="auto"/>
              <w:jc w:val="both"/>
            </w:pPr>
            <w:r w:rsidRPr="00294E7E">
              <w:t>3. USA</w:t>
            </w:r>
          </w:p>
          <w:p w:rsidR="003421BA" w:rsidRPr="00294E7E" w:rsidRDefault="003421BA" w:rsidP="003421BA">
            <w:pPr>
              <w:spacing w:after="40" w:line="360" w:lineRule="auto"/>
              <w:jc w:val="both"/>
            </w:pPr>
            <w:r w:rsidRPr="00294E7E">
              <w:t xml:space="preserve">4. </w:t>
            </w:r>
            <w:r w:rsidR="00810C4D" w:rsidRPr="00294E7E">
              <w:t>Großbritannien</w:t>
            </w:r>
            <w:r w:rsidRPr="00294E7E">
              <w:t xml:space="preserve"> </w:t>
            </w:r>
          </w:p>
          <w:p w:rsidR="003421BA" w:rsidRPr="00294E7E" w:rsidRDefault="003421BA" w:rsidP="003421BA">
            <w:pPr>
              <w:spacing w:after="40" w:line="360" w:lineRule="auto"/>
              <w:jc w:val="both"/>
            </w:pPr>
            <w:r w:rsidRPr="00294E7E">
              <w:t xml:space="preserve">5. </w:t>
            </w:r>
            <w:r w:rsidR="00810C4D" w:rsidRPr="00294E7E">
              <w:t>China</w:t>
            </w:r>
            <w:r w:rsidRPr="00294E7E">
              <w:t xml:space="preserve"> </w:t>
            </w:r>
          </w:p>
          <w:p w:rsidR="003421BA" w:rsidRPr="00294E7E" w:rsidRDefault="003421BA" w:rsidP="003421BA">
            <w:pPr>
              <w:spacing w:after="40" w:line="360" w:lineRule="auto"/>
              <w:jc w:val="both"/>
            </w:pPr>
            <w:r w:rsidRPr="00294E7E">
              <w:t xml:space="preserve">6. Italien </w:t>
            </w:r>
          </w:p>
          <w:p w:rsidR="003421BA" w:rsidRPr="00294E7E" w:rsidRDefault="003421BA" w:rsidP="003421BA">
            <w:pPr>
              <w:spacing w:after="40" w:line="360" w:lineRule="auto"/>
              <w:jc w:val="both"/>
            </w:pPr>
            <w:r w:rsidRPr="00294E7E">
              <w:t xml:space="preserve">7. </w:t>
            </w:r>
            <w:r w:rsidR="00810C4D" w:rsidRPr="00294E7E">
              <w:t>Schweiz</w:t>
            </w:r>
          </w:p>
          <w:p w:rsidR="003421BA" w:rsidRPr="00294E7E" w:rsidRDefault="003421BA" w:rsidP="003421BA">
            <w:pPr>
              <w:spacing w:after="40" w:line="360" w:lineRule="auto"/>
              <w:jc w:val="both"/>
            </w:pPr>
            <w:r w:rsidRPr="00294E7E">
              <w:t xml:space="preserve">8. </w:t>
            </w:r>
            <w:r w:rsidR="00810C4D" w:rsidRPr="00294E7E">
              <w:t>Südkorea</w:t>
            </w:r>
          </w:p>
          <w:p w:rsidR="003421BA" w:rsidRPr="00294E7E" w:rsidRDefault="003421BA" w:rsidP="003421BA">
            <w:pPr>
              <w:spacing w:after="40" w:line="360" w:lineRule="auto"/>
              <w:jc w:val="both"/>
            </w:pPr>
            <w:r w:rsidRPr="00294E7E">
              <w:t xml:space="preserve">9. </w:t>
            </w:r>
            <w:r w:rsidR="00810C4D" w:rsidRPr="00294E7E">
              <w:t>Südostasien</w:t>
            </w:r>
            <w:r w:rsidRPr="00294E7E">
              <w:t xml:space="preserve"> </w:t>
            </w:r>
          </w:p>
          <w:p w:rsidR="003421BA" w:rsidRPr="00294E7E" w:rsidRDefault="003421BA" w:rsidP="003421BA">
            <w:pPr>
              <w:spacing w:after="40" w:line="360" w:lineRule="auto"/>
              <w:jc w:val="both"/>
            </w:pPr>
            <w:r w:rsidRPr="00294E7E">
              <w:t>10. Taiwan</w:t>
            </w:r>
          </w:p>
        </w:tc>
        <w:tc>
          <w:tcPr>
            <w:tcW w:w="1275" w:type="dxa"/>
            <w:tcBorders>
              <w:top w:val="nil"/>
            </w:tcBorders>
          </w:tcPr>
          <w:p w:rsidR="003421BA" w:rsidRPr="00294E7E" w:rsidRDefault="00810C4D" w:rsidP="003421BA">
            <w:pPr>
              <w:spacing w:after="40" w:line="360" w:lineRule="auto"/>
              <w:jc w:val="both"/>
            </w:pPr>
            <w:r w:rsidRPr="00294E7E">
              <w:t>728.039</w:t>
            </w:r>
          </w:p>
          <w:p w:rsidR="003421BA" w:rsidRPr="00294E7E" w:rsidRDefault="00810C4D" w:rsidP="003421BA">
            <w:pPr>
              <w:spacing w:after="40" w:line="360" w:lineRule="auto"/>
              <w:jc w:val="both"/>
            </w:pPr>
            <w:r w:rsidRPr="00294E7E">
              <w:t>628.101</w:t>
            </w:r>
          </w:p>
          <w:p w:rsidR="003421BA" w:rsidRPr="00294E7E" w:rsidRDefault="00810C4D" w:rsidP="003421BA">
            <w:pPr>
              <w:spacing w:after="40" w:line="360" w:lineRule="auto"/>
              <w:jc w:val="both"/>
            </w:pPr>
            <w:r w:rsidRPr="00294E7E">
              <w:t>271.389</w:t>
            </w:r>
          </w:p>
          <w:p w:rsidR="003421BA" w:rsidRPr="00294E7E" w:rsidRDefault="00810C4D" w:rsidP="003421BA">
            <w:pPr>
              <w:spacing w:after="40" w:line="360" w:lineRule="auto"/>
              <w:jc w:val="both"/>
            </w:pPr>
            <w:r w:rsidRPr="00294E7E">
              <w:t>133.345</w:t>
            </w:r>
          </w:p>
          <w:p w:rsidR="003421BA" w:rsidRPr="00294E7E" w:rsidRDefault="00810C4D" w:rsidP="003421BA">
            <w:pPr>
              <w:spacing w:after="40" w:line="360" w:lineRule="auto"/>
              <w:jc w:val="both"/>
            </w:pPr>
            <w:r w:rsidRPr="00294E7E">
              <w:t>129.710</w:t>
            </w:r>
          </w:p>
          <w:p w:rsidR="003421BA" w:rsidRPr="00294E7E" w:rsidRDefault="00810C4D" w:rsidP="003421BA">
            <w:pPr>
              <w:spacing w:after="40" w:line="360" w:lineRule="auto"/>
              <w:jc w:val="both"/>
            </w:pPr>
            <w:r w:rsidRPr="00294E7E">
              <w:t>110.476</w:t>
            </w:r>
          </w:p>
          <w:p w:rsidR="003421BA" w:rsidRPr="00294E7E" w:rsidRDefault="003421BA" w:rsidP="003421BA">
            <w:pPr>
              <w:spacing w:after="40" w:line="360" w:lineRule="auto"/>
              <w:jc w:val="both"/>
            </w:pPr>
            <w:r w:rsidRPr="00294E7E">
              <w:t xml:space="preserve">  </w:t>
            </w:r>
            <w:r w:rsidR="00810C4D" w:rsidRPr="00294E7E">
              <w:t>79.381</w:t>
            </w:r>
          </w:p>
          <w:p w:rsidR="003421BA" w:rsidRPr="00294E7E" w:rsidRDefault="003421BA" w:rsidP="003421BA">
            <w:pPr>
              <w:spacing w:after="40" w:line="360" w:lineRule="auto"/>
              <w:jc w:val="both"/>
            </w:pPr>
            <w:r w:rsidRPr="00294E7E">
              <w:t xml:space="preserve">  </w:t>
            </w:r>
            <w:r w:rsidR="00810C4D" w:rsidRPr="00294E7E">
              <w:t>77.690</w:t>
            </w:r>
          </w:p>
          <w:p w:rsidR="003421BA" w:rsidRPr="00294E7E" w:rsidRDefault="003421BA" w:rsidP="003421BA">
            <w:pPr>
              <w:spacing w:after="40" w:line="360" w:lineRule="auto"/>
              <w:jc w:val="both"/>
            </w:pPr>
            <w:r w:rsidRPr="00294E7E">
              <w:t xml:space="preserve">  </w:t>
            </w:r>
            <w:r w:rsidR="00294E7E" w:rsidRPr="00294E7E">
              <w:t>64.018</w:t>
            </w:r>
          </w:p>
          <w:p w:rsidR="003421BA" w:rsidRPr="00294E7E" w:rsidRDefault="003421BA" w:rsidP="00294E7E">
            <w:pPr>
              <w:spacing w:after="40" w:line="360" w:lineRule="auto"/>
              <w:jc w:val="both"/>
            </w:pPr>
            <w:r w:rsidRPr="00294E7E">
              <w:t xml:space="preserve">  </w:t>
            </w:r>
            <w:r w:rsidR="00294E7E" w:rsidRPr="00294E7E">
              <w:t>57.580</w:t>
            </w:r>
          </w:p>
        </w:tc>
        <w:tc>
          <w:tcPr>
            <w:tcW w:w="993" w:type="dxa"/>
            <w:tcBorders>
              <w:top w:val="nil"/>
            </w:tcBorders>
          </w:tcPr>
          <w:p w:rsidR="003421BA" w:rsidRPr="00457470" w:rsidRDefault="003421BA" w:rsidP="003421BA">
            <w:pPr>
              <w:spacing w:after="40" w:line="360" w:lineRule="auto"/>
              <w:jc w:val="both"/>
            </w:pPr>
            <w:r w:rsidRPr="00457470">
              <w:t>2</w:t>
            </w:r>
            <w:r w:rsidR="00294E7E" w:rsidRPr="00457470">
              <w:t>3,2</w:t>
            </w:r>
            <w:r w:rsidR="00E1589E">
              <w:t xml:space="preserve"> </w:t>
            </w:r>
            <w:r w:rsidRPr="00457470">
              <w:t>%</w:t>
            </w:r>
          </w:p>
          <w:p w:rsidR="003421BA" w:rsidRPr="00457470" w:rsidRDefault="00294E7E" w:rsidP="003421BA">
            <w:pPr>
              <w:spacing w:after="40" w:line="360" w:lineRule="auto"/>
              <w:jc w:val="both"/>
            </w:pPr>
            <w:r w:rsidRPr="00457470">
              <w:t>20</w:t>
            </w:r>
            <w:r w:rsidR="003421BA" w:rsidRPr="00457470">
              <w:t>,</w:t>
            </w:r>
            <w:r w:rsidRPr="00457470">
              <w:t>0</w:t>
            </w:r>
            <w:r w:rsidR="00E1589E">
              <w:t xml:space="preserve"> </w:t>
            </w:r>
            <w:r w:rsidR="003421BA" w:rsidRPr="00457470">
              <w:t>%</w:t>
            </w:r>
          </w:p>
          <w:p w:rsidR="003421BA" w:rsidRPr="00457470" w:rsidRDefault="00294E7E" w:rsidP="003421BA">
            <w:pPr>
              <w:spacing w:after="40" w:line="360" w:lineRule="auto"/>
              <w:jc w:val="both"/>
            </w:pPr>
            <w:r w:rsidRPr="00457470">
              <w:t xml:space="preserve">  8,6</w:t>
            </w:r>
            <w:r w:rsidR="00E1589E">
              <w:t xml:space="preserve"> </w:t>
            </w:r>
            <w:r w:rsidR="003421BA" w:rsidRPr="00457470">
              <w:t>%</w:t>
            </w:r>
          </w:p>
          <w:p w:rsidR="003421BA" w:rsidRPr="00457470" w:rsidRDefault="003421BA" w:rsidP="003421BA">
            <w:pPr>
              <w:spacing w:after="40" w:line="360" w:lineRule="auto"/>
              <w:jc w:val="both"/>
            </w:pPr>
            <w:r w:rsidRPr="00457470">
              <w:t xml:space="preserve">  4,2</w:t>
            </w:r>
            <w:r w:rsidR="00E1589E">
              <w:t xml:space="preserve"> </w:t>
            </w:r>
            <w:r w:rsidRPr="00457470">
              <w:t>%</w:t>
            </w:r>
          </w:p>
          <w:p w:rsidR="003421BA" w:rsidRPr="00457470" w:rsidRDefault="003421BA" w:rsidP="003421BA">
            <w:pPr>
              <w:spacing w:after="40" w:line="360" w:lineRule="auto"/>
              <w:jc w:val="both"/>
            </w:pPr>
            <w:r w:rsidRPr="00457470">
              <w:t xml:space="preserve">  4,1</w:t>
            </w:r>
            <w:r w:rsidR="00E1589E">
              <w:t xml:space="preserve"> </w:t>
            </w:r>
            <w:r w:rsidRPr="00457470">
              <w:t>%</w:t>
            </w:r>
          </w:p>
          <w:p w:rsidR="003421BA" w:rsidRPr="00457470" w:rsidRDefault="00457470" w:rsidP="003421BA">
            <w:pPr>
              <w:spacing w:after="40" w:line="360" w:lineRule="auto"/>
              <w:jc w:val="both"/>
            </w:pPr>
            <w:r w:rsidRPr="00457470">
              <w:t xml:space="preserve">  3</w:t>
            </w:r>
            <w:r w:rsidR="003421BA" w:rsidRPr="00457470">
              <w:t>,</w:t>
            </w:r>
            <w:r w:rsidRPr="00457470">
              <w:t>5</w:t>
            </w:r>
            <w:r w:rsidR="00E1589E">
              <w:t xml:space="preserve"> </w:t>
            </w:r>
            <w:r w:rsidR="003421BA" w:rsidRPr="00457470">
              <w:t>%</w:t>
            </w:r>
          </w:p>
          <w:p w:rsidR="003421BA" w:rsidRPr="00457470" w:rsidRDefault="003421BA" w:rsidP="003421BA">
            <w:pPr>
              <w:spacing w:after="40" w:line="360" w:lineRule="auto"/>
              <w:jc w:val="both"/>
            </w:pPr>
            <w:r w:rsidRPr="00457470">
              <w:t xml:space="preserve">  2,5</w:t>
            </w:r>
            <w:r w:rsidR="00E1589E">
              <w:t xml:space="preserve"> </w:t>
            </w:r>
            <w:r w:rsidRPr="00457470">
              <w:t>%</w:t>
            </w:r>
          </w:p>
          <w:p w:rsidR="003421BA" w:rsidRPr="00457470" w:rsidRDefault="003421BA" w:rsidP="003421BA">
            <w:pPr>
              <w:spacing w:after="40" w:line="360" w:lineRule="auto"/>
              <w:jc w:val="both"/>
            </w:pPr>
            <w:r w:rsidRPr="00457470">
              <w:t xml:space="preserve">  2,5</w:t>
            </w:r>
            <w:r w:rsidR="00E1589E">
              <w:t xml:space="preserve"> </w:t>
            </w:r>
            <w:r w:rsidRPr="00457470">
              <w:t>%</w:t>
            </w:r>
          </w:p>
          <w:p w:rsidR="003421BA" w:rsidRPr="00457470" w:rsidRDefault="00457470" w:rsidP="003421BA">
            <w:pPr>
              <w:spacing w:after="40" w:line="360" w:lineRule="auto"/>
              <w:jc w:val="both"/>
            </w:pPr>
            <w:r w:rsidRPr="00457470">
              <w:t xml:space="preserve">  2,0</w:t>
            </w:r>
            <w:r w:rsidR="00E1589E">
              <w:t xml:space="preserve"> </w:t>
            </w:r>
            <w:r w:rsidR="003421BA" w:rsidRPr="00457470">
              <w:t>%</w:t>
            </w:r>
          </w:p>
          <w:p w:rsidR="003421BA" w:rsidRPr="00457470" w:rsidRDefault="00457470" w:rsidP="003421BA">
            <w:pPr>
              <w:spacing w:after="40" w:line="360" w:lineRule="auto"/>
              <w:jc w:val="both"/>
            </w:pPr>
            <w:r w:rsidRPr="00457470">
              <w:t xml:space="preserve">  1,8</w:t>
            </w:r>
            <w:r w:rsidR="00E1589E">
              <w:t xml:space="preserve"> </w:t>
            </w:r>
            <w:r w:rsidR="003421BA" w:rsidRPr="00457470">
              <w:t>%</w:t>
            </w:r>
          </w:p>
        </w:tc>
        <w:tc>
          <w:tcPr>
            <w:tcW w:w="2409" w:type="dxa"/>
            <w:tcBorders>
              <w:top w:val="nil"/>
            </w:tcBorders>
          </w:tcPr>
          <w:p w:rsidR="003421BA" w:rsidRPr="001D171C" w:rsidRDefault="003421BA" w:rsidP="003421BA">
            <w:pPr>
              <w:spacing w:after="40" w:line="360" w:lineRule="auto"/>
              <w:jc w:val="both"/>
            </w:pPr>
            <w:r w:rsidRPr="001D171C">
              <w:t>1. Österreich</w:t>
            </w:r>
          </w:p>
          <w:p w:rsidR="003421BA" w:rsidRPr="001D171C" w:rsidRDefault="003421BA" w:rsidP="003421BA">
            <w:pPr>
              <w:spacing w:after="40" w:line="360" w:lineRule="auto"/>
              <w:jc w:val="both"/>
            </w:pPr>
            <w:r w:rsidRPr="001D171C">
              <w:t>2. Deutschland</w:t>
            </w:r>
          </w:p>
          <w:p w:rsidR="003421BA" w:rsidRPr="001D171C" w:rsidRDefault="003421BA" w:rsidP="003421BA">
            <w:pPr>
              <w:spacing w:after="40" w:line="360" w:lineRule="auto"/>
              <w:jc w:val="both"/>
            </w:pPr>
            <w:r w:rsidRPr="001D171C">
              <w:t>3. USA</w:t>
            </w:r>
          </w:p>
          <w:p w:rsidR="003421BA" w:rsidRPr="001D171C" w:rsidRDefault="003421BA" w:rsidP="003421BA">
            <w:pPr>
              <w:spacing w:after="40" w:line="360" w:lineRule="auto"/>
              <w:jc w:val="both"/>
            </w:pPr>
            <w:r w:rsidRPr="001D171C">
              <w:t xml:space="preserve">4. China </w:t>
            </w:r>
          </w:p>
          <w:p w:rsidR="003421BA" w:rsidRPr="001D171C" w:rsidRDefault="003421BA" w:rsidP="003421BA">
            <w:pPr>
              <w:spacing w:after="40" w:line="360" w:lineRule="auto"/>
              <w:jc w:val="both"/>
            </w:pPr>
            <w:r w:rsidRPr="001D171C">
              <w:t xml:space="preserve">5. Großbritannien </w:t>
            </w:r>
          </w:p>
          <w:p w:rsidR="003421BA" w:rsidRPr="001D171C" w:rsidRDefault="003421BA" w:rsidP="003421BA">
            <w:pPr>
              <w:spacing w:after="40" w:line="360" w:lineRule="auto"/>
              <w:jc w:val="both"/>
            </w:pPr>
            <w:r w:rsidRPr="001D171C">
              <w:t xml:space="preserve">6. Italien </w:t>
            </w:r>
          </w:p>
          <w:p w:rsidR="003421BA" w:rsidRPr="004127AB" w:rsidRDefault="003421BA" w:rsidP="003421BA">
            <w:pPr>
              <w:spacing w:after="40" w:line="360" w:lineRule="auto"/>
              <w:jc w:val="both"/>
              <w:rPr>
                <w:highlight w:val="yellow"/>
              </w:rPr>
            </w:pPr>
            <w:r w:rsidRPr="001D171C">
              <w:t xml:space="preserve">7. </w:t>
            </w:r>
            <w:r>
              <w:t>Südkorea</w:t>
            </w:r>
          </w:p>
          <w:p w:rsidR="003421BA" w:rsidRPr="001D171C" w:rsidRDefault="003421BA" w:rsidP="003421BA">
            <w:pPr>
              <w:spacing w:after="40" w:line="360" w:lineRule="auto"/>
              <w:jc w:val="both"/>
            </w:pPr>
            <w:r w:rsidRPr="001D171C">
              <w:t>8. Schweiz</w:t>
            </w:r>
          </w:p>
          <w:p w:rsidR="003421BA" w:rsidRPr="00B63BE5" w:rsidRDefault="003421BA" w:rsidP="003421BA">
            <w:pPr>
              <w:spacing w:after="40" w:line="360" w:lineRule="auto"/>
              <w:jc w:val="both"/>
            </w:pPr>
            <w:r w:rsidRPr="00B63BE5">
              <w:t xml:space="preserve">9. </w:t>
            </w:r>
            <w:r>
              <w:t>Australien</w:t>
            </w:r>
            <w:r w:rsidRPr="00B63BE5">
              <w:t xml:space="preserve"> </w:t>
            </w:r>
          </w:p>
          <w:p w:rsidR="003421BA" w:rsidRPr="004127AB" w:rsidRDefault="003421BA" w:rsidP="003421BA">
            <w:pPr>
              <w:spacing w:after="40" w:line="360" w:lineRule="auto"/>
              <w:jc w:val="both"/>
              <w:rPr>
                <w:highlight w:val="yellow"/>
              </w:rPr>
            </w:pPr>
            <w:r w:rsidRPr="00B63BE5">
              <w:t xml:space="preserve">10. </w:t>
            </w:r>
            <w:r>
              <w:t>Taiwan</w:t>
            </w:r>
          </w:p>
        </w:tc>
        <w:tc>
          <w:tcPr>
            <w:tcW w:w="1276" w:type="dxa"/>
            <w:tcBorders>
              <w:top w:val="nil"/>
            </w:tcBorders>
          </w:tcPr>
          <w:p w:rsidR="003421BA" w:rsidRPr="001D171C" w:rsidRDefault="003421BA" w:rsidP="003421BA">
            <w:pPr>
              <w:spacing w:after="40" w:line="360" w:lineRule="auto"/>
              <w:jc w:val="both"/>
            </w:pPr>
            <w:r w:rsidRPr="001D171C">
              <w:t>715.228</w:t>
            </w:r>
          </w:p>
          <w:p w:rsidR="003421BA" w:rsidRPr="001D171C" w:rsidRDefault="003421BA" w:rsidP="003421BA">
            <w:pPr>
              <w:spacing w:after="40" w:line="360" w:lineRule="auto"/>
              <w:jc w:val="both"/>
            </w:pPr>
            <w:r w:rsidRPr="001D171C">
              <w:t>604.640</w:t>
            </w:r>
          </w:p>
          <w:p w:rsidR="003421BA" w:rsidRPr="001D171C" w:rsidRDefault="003421BA" w:rsidP="003421BA">
            <w:pPr>
              <w:spacing w:after="40" w:line="360" w:lineRule="auto"/>
              <w:jc w:val="both"/>
            </w:pPr>
            <w:r w:rsidRPr="001D171C">
              <w:t>252.195</w:t>
            </w:r>
          </w:p>
          <w:p w:rsidR="003421BA" w:rsidRPr="001D171C" w:rsidRDefault="003421BA" w:rsidP="003421BA">
            <w:pPr>
              <w:spacing w:after="40" w:line="360" w:lineRule="auto"/>
              <w:jc w:val="both"/>
            </w:pPr>
            <w:r w:rsidRPr="001D171C">
              <w:t>127.871</w:t>
            </w:r>
          </w:p>
          <w:p w:rsidR="003421BA" w:rsidRPr="001D171C" w:rsidRDefault="003421BA" w:rsidP="003421BA">
            <w:pPr>
              <w:spacing w:after="40" w:line="360" w:lineRule="auto"/>
              <w:jc w:val="both"/>
            </w:pPr>
            <w:r w:rsidRPr="001D171C">
              <w:t>123.612</w:t>
            </w:r>
          </w:p>
          <w:p w:rsidR="003421BA" w:rsidRPr="001D171C" w:rsidRDefault="003421BA" w:rsidP="003421BA">
            <w:pPr>
              <w:spacing w:after="40" w:line="360" w:lineRule="auto"/>
              <w:jc w:val="both"/>
            </w:pPr>
            <w:r w:rsidRPr="001D171C">
              <w:t>123.245</w:t>
            </w:r>
          </w:p>
          <w:p w:rsidR="003421BA" w:rsidRPr="004127AB" w:rsidRDefault="003421BA" w:rsidP="003421BA">
            <w:pPr>
              <w:spacing w:after="40" w:line="360" w:lineRule="auto"/>
              <w:jc w:val="both"/>
              <w:rPr>
                <w:highlight w:val="yellow"/>
              </w:rPr>
            </w:pPr>
            <w:r w:rsidRPr="001D171C">
              <w:t xml:space="preserve">  </w:t>
            </w:r>
            <w:r>
              <w:t>77.417</w:t>
            </w:r>
          </w:p>
          <w:p w:rsidR="003421BA" w:rsidRPr="001D171C" w:rsidRDefault="003421BA" w:rsidP="003421BA">
            <w:pPr>
              <w:spacing w:after="40" w:line="360" w:lineRule="auto"/>
              <w:jc w:val="both"/>
            </w:pPr>
            <w:r w:rsidRPr="001D171C">
              <w:t xml:space="preserve">  76.030</w:t>
            </w:r>
          </w:p>
          <w:p w:rsidR="003421BA" w:rsidRPr="00B63BE5" w:rsidRDefault="003421BA" w:rsidP="003421BA">
            <w:pPr>
              <w:spacing w:after="40" w:line="360" w:lineRule="auto"/>
              <w:jc w:val="both"/>
            </w:pPr>
            <w:r w:rsidRPr="00B63BE5">
              <w:t xml:space="preserve">  </w:t>
            </w:r>
            <w:r>
              <w:t>53.362</w:t>
            </w:r>
          </w:p>
          <w:p w:rsidR="003421BA" w:rsidRPr="004127AB" w:rsidRDefault="003421BA" w:rsidP="003421BA">
            <w:pPr>
              <w:spacing w:after="40" w:line="360" w:lineRule="auto"/>
              <w:jc w:val="both"/>
              <w:rPr>
                <w:highlight w:val="yellow"/>
              </w:rPr>
            </w:pPr>
            <w:r w:rsidRPr="00B63BE5">
              <w:t xml:space="preserve">  </w:t>
            </w:r>
            <w:r>
              <w:t>49.557</w:t>
            </w:r>
          </w:p>
        </w:tc>
        <w:tc>
          <w:tcPr>
            <w:tcW w:w="960" w:type="dxa"/>
            <w:tcBorders>
              <w:top w:val="nil"/>
            </w:tcBorders>
          </w:tcPr>
          <w:p w:rsidR="003421BA" w:rsidRPr="00C55E02" w:rsidRDefault="003421BA" w:rsidP="003421BA">
            <w:pPr>
              <w:spacing w:after="40" w:line="360" w:lineRule="auto"/>
              <w:jc w:val="both"/>
            </w:pPr>
            <w:r w:rsidRPr="00C55E02">
              <w:t>23,5</w:t>
            </w:r>
            <w:r w:rsidR="00E1589E">
              <w:t xml:space="preserve"> </w:t>
            </w:r>
            <w:r w:rsidRPr="00C55E02">
              <w:t>%</w:t>
            </w:r>
          </w:p>
          <w:p w:rsidR="003421BA" w:rsidRPr="00C55E02" w:rsidRDefault="003421BA" w:rsidP="003421BA">
            <w:pPr>
              <w:spacing w:after="40" w:line="360" w:lineRule="auto"/>
              <w:jc w:val="both"/>
            </w:pPr>
            <w:r w:rsidRPr="00C55E02">
              <w:t>19,9</w:t>
            </w:r>
            <w:r w:rsidR="00E1589E">
              <w:t xml:space="preserve"> </w:t>
            </w:r>
            <w:r w:rsidRPr="00C55E02">
              <w:t>%</w:t>
            </w:r>
          </w:p>
          <w:p w:rsidR="003421BA" w:rsidRPr="00C55E02" w:rsidRDefault="003421BA" w:rsidP="003421BA">
            <w:pPr>
              <w:spacing w:after="40" w:line="360" w:lineRule="auto"/>
              <w:jc w:val="both"/>
            </w:pPr>
            <w:r w:rsidRPr="00C55E02">
              <w:t xml:space="preserve">  8,3</w:t>
            </w:r>
            <w:r w:rsidR="00E1589E">
              <w:t xml:space="preserve"> </w:t>
            </w:r>
            <w:r w:rsidRPr="00C55E02">
              <w:t>%</w:t>
            </w:r>
          </w:p>
          <w:p w:rsidR="003421BA" w:rsidRPr="00C55E02" w:rsidRDefault="003421BA" w:rsidP="003421BA">
            <w:pPr>
              <w:spacing w:after="40" w:line="360" w:lineRule="auto"/>
              <w:jc w:val="both"/>
            </w:pPr>
            <w:r w:rsidRPr="00C55E02">
              <w:t xml:space="preserve">  4,2</w:t>
            </w:r>
            <w:r w:rsidR="00E1589E">
              <w:t xml:space="preserve"> </w:t>
            </w:r>
            <w:r w:rsidRPr="00C55E02">
              <w:t>%</w:t>
            </w:r>
          </w:p>
          <w:p w:rsidR="003421BA" w:rsidRPr="00C55E02" w:rsidRDefault="003421BA" w:rsidP="003421BA">
            <w:pPr>
              <w:spacing w:after="40" w:line="360" w:lineRule="auto"/>
              <w:jc w:val="both"/>
            </w:pPr>
            <w:r w:rsidRPr="00C55E02">
              <w:t xml:space="preserve">  4,1</w:t>
            </w:r>
            <w:r w:rsidR="00E1589E">
              <w:t xml:space="preserve"> </w:t>
            </w:r>
            <w:r w:rsidRPr="00C55E02">
              <w:t>%</w:t>
            </w:r>
          </w:p>
          <w:p w:rsidR="003421BA" w:rsidRPr="00C55E02" w:rsidRDefault="003421BA" w:rsidP="003421BA">
            <w:pPr>
              <w:spacing w:after="40" w:line="360" w:lineRule="auto"/>
              <w:jc w:val="both"/>
            </w:pPr>
            <w:r w:rsidRPr="00C55E02">
              <w:t xml:space="preserve">  4,1</w:t>
            </w:r>
            <w:r w:rsidR="00E1589E">
              <w:t xml:space="preserve"> </w:t>
            </w:r>
            <w:r w:rsidRPr="00C55E02">
              <w:t>%</w:t>
            </w:r>
          </w:p>
          <w:p w:rsidR="003421BA" w:rsidRPr="00C55E02" w:rsidRDefault="003421BA" w:rsidP="003421BA">
            <w:pPr>
              <w:spacing w:after="40" w:line="360" w:lineRule="auto"/>
              <w:jc w:val="both"/>
            </w:pPr>
            <w:r w:rsidRPr="00C55E02">
              <w:t xml:space="preserve">  2,5</w:t>
            </w:r>
            <w:r w:rsidR="00E1589E">
              <w:t xml:space="preserve"> </w:t>
            </w:r>
            <w:r w:rsidRPr="00C55E02">
              <w:t>%</w:t>
            </w:r>
          </w:p>
          <w:p w:rsidR="003421BA" w:rsidRPr="00C55E02" w:rsidRDefault="003421BA" w:rsidP="003421BA">
            <w:pPr>
              <w:spacing w:after="40" w:line="360" w:lineRule="auto"/>
              <w:jc w:val="both"/>
            </w:pPr>
            <w:r w:rsidRPr="00C55E02">
              <w:t xml:space="preserve">  2,5</w:t>
            </w:r>
            <w:r w:rsidR="00E1589E">
              <w:t xml:space="preserve"> </w:t>
            </w:r>
            <w:r w:rsidRPr="00C55E02">
              <w:t>%</w:t>
            </w:r>
          </w:p>
          <w:p w:rsidR="003421BA" w:rsidRPr="00C55E02" w:rsidRDefault="003421BA" w:rsidP="003421BA">
            <w:pPr>
              <w:spacing w:after="40" w:line="360" w:lineRule="auto"/>
              <w:jc w:val="both"/>
            </w:pPr>
            <w:r w:rsidRPr="00C55E02">
              <w:t xml:space="preserve">  </w:t>
            </w:r>
            <w:r>
              <w:t>1,8</w:t>
            </w:r>
            <w:r w:rsidR="00E1589E">
              <w:t xml:space="preserve"> </w:t>
            </w:r>
            <w:r w:rsidRPr="00C55E02">
              <w:t>%</w:t>
            </w:r>
          </w:p>
          <w:p w:rsidR="003421BA" w:rsidRPr="004127AB" w:rsidRDefault="003421BA" w:rsidP="003421BA">
            <w:pPr>
              <w:spacing w:after="40" w:line="360" w:lineRule="auto"/>
              <w:jc w:val="both"/>
              <w:rPr>
                <w:highlight w:val="yellow"/>
              </w:rPr>
            </w:pPr>
            <w:r>
              <w:t xml:space="preserve">  1,6</w:t>
            </w:r>
            <w:r w:rsidR="00E1589E">
              <w:t xml:space="preserve"> </w:t>
            </w:r>
            <w:r w:rsidRPr="00C55E02">
              <w:t>%</w:t>
            </w:r>
          </w:p>
        </w:tc>
      </w:tr>
    </w:tbl>
    <w:p w:rsidR="000719FD" w:rsidRPr="00C510CC" w:rsidRDefault="000719FD" w:rsidP="003A1318">
      <w:pPr>
        <w:jc w:val="both"/>
        <w:outlineLvl w:val="0"/>
        <w:rPr>
          <w:b/>
        </w:rPr>
      </w:pPr>
    </w:p>
    <w:p w:rsidR="000719FD" w:rsidRDefault="000719FD" w:rsidP="003A1318">
      <w:pPr>
        <w:jc w:val="both"/>
        <w:outlineLvl w:val="0"/>
        <w:rPr>
          <w:b/>
        </w:rPr>
      </w:pPr>
      <w:r w:rsidRPr="00C510CC">
        <w:rPr>
          <w:b/>
        </w:rPr>
        <w:t>B</w:t>
      </w:r>
      <w:r w:rsidR="00C510CC" w:rsidRPr="00C510CC">
        <w:rPr>
          <w:b/>
        </w:rPr>
        <w:t>eherbergungsangebot</w:t>
      </w:r>
    </w:p>
    <w:p w:rsidR="004A0366" w:rsidRPr="00C510CC" w:rsidRDefault="004A0366" w:rsidP="003A1318">
      <w:pPr>
        <w:jc w:val="both"/>
        <w:outlineLvl w:val="0"/>
        <w:rPr>
          <w:b/>
        </w:rPr>
      </w:pPr>
    </w:p>
    <w:p w:rsidR="000719FD" w:rsidRPr="00C602D8" w:rsidRDefault="000719FD" w:rsidP="003A1318">
      <w:pPr>
        <w:jc w:val="both"/>
        <w:outlineLvl w:val="0"/>
      </w:pPr>
      <w:r w:rsidRPr="00C602D8">
        <w:t xml:space="preserve">In der Landeshauptstadt Salzburg </w:t>
      </w:r>
      <w:r w:rsidR="008340AB" w:rsidRPr="00C602D8">
        <w:t>gab</w:t>
      </w:r>
      <w:r w:rsidR="004127AB" w:rsidRPr="00C602D8">
        <w:t xml:space="preserve"> es mit Stichtag 31. </w:t>
      </w:r>
      <w:r w:rsidR="001D4D3B" w:rsidRPr="00C602D8">
        <w:t>Dezember</w:t>
      </w:r>
      <w:r w:rsidR="00C602D8" w:rsidRPr="00C602D8">
        <w:t xml:space="preserve"> 2018</w:t>
      </w:r>
      <w:r w:rsidR="005204DF" w:rsidRPr="00C602D8">
        <w:t xml:space="preserve"> genau</w:t>
      </w:r>
      <w:r w:rsidR="004127AB" w:rsidRPr="00C602D8">
        <w:t xml:space="preserve"> 121 (201</w:t>
      </w:r>
      <w:r w:rsidR="00C602D8" w:rsidRPr="00C602D8">
        <w:t>7</w:t>
      </w:r>
      <w:r w:rsidR="004127AB" w:rsidRPr="00C602D8">
        <w:t>: 121</w:t>
      </w:r>
      <w:r w:rsidR="009B05CC" w:rsidRPr="00C602D8">
        <w:t>) gewerbliche Betriebe (k</w:t>
      </w:r>
      <w:r w:rsidRPr="00C602D8">
        <w:t xml:space="preserve">ategorisierte Hotels, Gasthöfe und Pensionen). In ihnen werden </w:t>
      </w:r>
      <w:r w:rsidR="00C602D8" w:rsidRPr="00C602D8">
        <w:t>12.451</w:t>
      </w:r>
      <w:r w:rsidRPr="00C602D8">
        <w:t xml:space="preserve"> Betten (201</w:t>
      </w:r>
      <w:r w:rsidR="00C602D8" w:rsidRPr="00C602D8">
        <w:t>7</w:t>
      </w:r>
      <w:r w:rsidRPr="00C602D8">
        <w:t xml:space="preserve">: </w:t>
      </w:r>
      <w:r w:rsidR="00C602D8" w:rsidRPr="00C602D8">
        <w:t>12.193</w:t>
      </w:r>
      <w:r w:rsidRPr="00C602D8">
        <w:t>) bereitgestellt. Pro Betrieb gibt es</w:t>
      </w:r>
      <w:r w:rsidR="00D458CC" w:rsidRPr="00C602D8">
        <w:t xml:space="preserve"> somit </w:t>
      </w:r>
      <w:r w:rsidRPr="00C602D8">
        <w:t>durchschnittlich 10</w:t>
      </w:r>
      <w:r w:rsidR="00C602D8" w:rsidRPr="00C602D8">
        <w:t>3</w:t>
      </w:r>
      <w:r w:rsidRPr="00C602D8">
        <w:t xml:space="preserve"> Betten. Dieser Wert ist in den letzte</w:t>
      </w:r>
      <w:r w:rsidR="00D458CC" w:rsidRPr="00C602D8">
        <w:t>n Jahren stetig ges</w:t>
      </w:r>
      <w:r w:rsidR="00C602D8" w:rsidRPr="00C602D8">
        <w:t>tiegen; v</w:t>
      </w:r>
      <w:r w:rsidR="005204DF" w:rsidRPr="00C602D8">
        <w:t>or zehn</w:t>
      </w:r>
      <w:r w:rsidRPr="00C602D8">
        <w:t xml:space="preserve"> Jahre</w:t>
      </w:r>
      <w:r w:rsidR="00D458CC" w:rsidRPr="00C602D8">
        <w:t>n (200</w:t>
      </w:r>
      <w:r w:rsidR="00C602D8" w:rsidRPr="00C602D8">
        <w:t>8</w:t>
      </w:r>
      <w:r w:rsidRPr="00C602D8">
        <w:t xml:space="preserve">) gab es pro Hotel durchschnittlich nur </w:t>
      </w:r>
      <w:r w:rsidR="00C602D8" w:rsidRPr="00C602D8">
        <w:t>81</w:t>
      </w:r>
      <w:r w:rsidR="00D458CC" w:rsidRPr="00C602D8">
        <w:t xml:space="preserve"> Betten.</w:t>
      </w:r>
    </w:p>
    <w:p w:rsidR="000719FD" w:rsidRPr="003421BA" w:rsidRDefault="000719FD" w:rsidP="003A1318">
      <w:pPr>
        <w:jc w:val="both"/>
        <w:outlineLvl w:val="0"/>
        <w:rPr>
          <w:highlight w:val="yellow"/>
        </w:rPr>
      </w:pPr>
    </w:p>
    <w:p w:rsidR="00354A2D" w:rsidRPr="00CB56C6" w:rsidRDefault="000719FD" w:rsidP="003A1318">
      <w:pPr>
        <w:jc w:val="both"/>
        <w:outlineLvl w:val="0"/>
      </w:pPr>
      <w:r w:rsidRPr="00CB56C6">
        <w:lastRenderedPageBreak/>
        <w:t>Aufgeteilt nach Qualitäts</w:t>
      </w:r>
      <w:r w:rsidR="0037724E" w:rsidRPr="00CB56C6">
        <w:t>kategorien ergeben sich: 5 (201</w:t>
      </w:r>
      <w:r w:rsidR="00C602D8" w:rsidRPr="00CB56C6">
        <w:t>7</w:t>
      </w:r>
      <w:r w:rsidRPr="00CB56C6">
        <w:t xml:space="preserve">: 6) 5-Stern-Betriebe mit </w:t>
      </w:r>
      <w:r w:rsidR="00C602D8" w:rsidRPr="00CB56C6">
        <w:t>840 (2017</w:t>
      </w:r>
      <w:r w:rsidRPr="00CB56C6">
        <w:t xml:space="preserve">: </w:t>
      </w:r>
      <w:r w:rsidR="00C602D8" w:rsidRPr="00CB56C6">
        <w:t>932) Betten, 48 (2017</w:t>
      </w:r>
      <w:r w:rsidRPr="00CB56C6">
        <w:t xml:space="preserve">: </w:t>
      </w:r>
      <w:r w:rsidR="00C602D8" w:rsidRPr="00CB56C6">
        <w:t>47</w:t>
      </w:r>
      <w:r w:rsidRPr="00CB56C6">
        <w:t xml:space="preserve">) 4-Stern-Betriebe mit </w:t>
      </w:r>
      <w:r w:rsidR="00C602D8" w:rsidRPr="00CB56C6">
        <w:t>6.503 (2017</w:t>
      </w:r>
      <w:r w:rsidRPr="00CB56C6">
        <w:t xml:space="preserve">: </w:t>
      </w:r>
      <w:r w:rsidR="0037724E" w:rsidRPr="00CB56C6">
        <w:t>6.</w:t>
      </w:r>
      <w:r w:rsidR="00C602D8" w:rsidRPr="00CB56C6">
        <w:t>234</w:t>
      </w:r>
      <w:r w:rsidRPr="00CB56C6">
        <w:t>) Betten, 48 (201</w:t>
      </w:r>
      <w:r w:rsidR="00C602D8" w:rsidRPr="00CB56C6">
        <w:t>7</w:t>
      </w:r>
      <w:r w:rsidRPr="00CB56C6">
        <w:t>:</w:t>
      </w:r>
    </w:p>
    <w:p w:rsidR="000719FD" w:rsidRPr="00CB56C6" w:rsidRDefault="000719FD" w:rsidP="003A1318">
      <w:pPr>
        <w:jc w:val="both"/>
        <w:outlineLvl w:val="0"/>
      </w:pPr>
      <w:r w:rsidRPr="00CB56C6">
        <w:t>4</w:t>
      </w:r>
      <w:r w:rsidR="00C602D8" w:rsidRPr="00CB56C6">
        <w:t>8</w:t>
      </w:r>
      <w:r w:rsidRPr="00CB56C6">
        <w:t xml:space="preserve">) 3-Stern-Betriebe mit </w:t>
      </w:r>
      <w:r w:rsidR="0037724E" w:rsidRPr="00CB56C6">
        <w:t>3.</w:t>
      </w:r>
      <w:r w:rsidR="00C602D8" w:rsidRPr="00CB56C6">
        <w:t>618 (2017</w:t>
      </w:r>
      <w:r w:rsidRPr="00CB56C6">
        <w:t xml:space="preserve">: </w:t>
      </w:r>
      <w:r w:rsidR="0037724E" w:rsidRPr="00CB56C6">
        <w:t>3.5</w:t>
      </w:r>
      <w:r w:rsidR="00CB56C6" w:rsidRPr="00CB56C6">
        <w:t>6</w:t>
      </w:r>
      <w:r w:rsidR="0037724E" w:rsidRPr="00CB56C6">
        <w:t>5</w:t>
      </w:r>
      <w:r w:rsidRPr="00CB56C6">
        <w:t xml:space="preserve">) Betten und </w:t>
      </w:r>
      <w:r w:rsidR="00CB56C6" w:rsidRPr="00CB56C6">
        <w:t>18 (2017</w:t>
      </w:r>
      <w:r w:rsidR="0037724E" w:rsidRPr="00CB56C6">
        <w:t xml:space="preserve">: </w:t>
      </w:r>
      <w:r w:rsidR="00CB56C6" w:rsidRPr="00CB56C6">
        <w:t>19</w:t>
      </w:r>
      <w:r w:rsidRPr="00CB56C6">
        <w:t xml:space="preserve">) 2-Stern bzw. 1-Stern-Betriebe mit </w:t>
      </w:r>
      <w:r w:rsidR="0037724E" w:rsidRPr="00CB56C6">
        <w:t>1.</w:t>
      </w:r>
      <w:r w:rsidR="00CB56C6" w:rsidRPr="00CB56C6">
        <w:t>363</w:t>
      </w:r>
      <w:r w:rsidRPr="00CB56C6">
        <w:t xml:space="preserve"> (201</w:t>
      </w:r>
      <w:r w:rsidR="00CB56C6" w:rsidRPr="00CB56C6">
        <w:t>7</w:t>
      </w:r>
      <w:r w:rsidRPr="00CB56C6">
        <w:t xml:space="preserve">: </w:t>
      </w:r>
      <w:r w:rsidR="0037724E" w:rsidRPr="00CB56C6">
        <w:t>1.3</w:t>
      </w:r>
      <w:r w:rsidR="00CB56C6" w:rsidRPr="00CB56C6">
        <w:t>37</w:t>
      </w:r>
      <w:r w:rsidRPr="00CB56C6">
        <w:t>) Betten.</w:t>
      </w:r>
      <w:r w:rsidR="0037724E" w:rsidRPr="00CB56C6">
        <w:t xml:space="preserve"> </w:t>
      </w:r>
    </w:p>
    <w:p w:rsidR="000719FD" w:rsidRPr="00CB56C6" w:rsidRDefault="000719FD" w:rsidP="003A1318">
      <w:pPr>
        <w:jc w:val="both"/>
        <w:outlineLvl w:val="0"/>
      </w:pPr>
    </w:p>
    <w:p w:rsidR="000719FD" w:rsidRDefault="00F06988" w:rsidP="003A1318">
      <w:pPr>
        <w:jc w:val="both"/>
        <w:outlineLvl w:val="0"/>
      </w:pPr>
      <w:r w:rsidRPr="00CB56C6">
        <w:t>87</w:t>
      </w:r>
      <w:r w:rsidR="000719FD" w:rsidRPr="00CB56C6">
        <w:t>,</w:t>
      </w:r>
      <w:r w:rsidR="00CB56C6" w:rsidRPr="00CB56C6">
        <w:t>7</w:t>
      </w:r>
      <w:r w:rsidR="00BE4CB6">
        <w:t xml:space="preserve"> </w:t>
      </w:r>
      <w:r w:rsidR="000719FD" w:rsidRPr="00CB56C6">
        <w:t>% aller Übernachtungen fallen a</w:t>
      </w:r>
      <w:r w:rsidR="009B05CC" w:rsidRPr="00CB56C6">
        <w:t>uf Hotels und ähnliche Betriebe,</w:t>
      </w:r>
      <w:r w:rsidR="000719FD" w:rsidRPr="00CB56C6">
        <w:t xml:space="preserve"> </w:t>
      </w:r>
      <w:r w:rsidR="00CB56C6" w:rsidRPr="00CB56C6">
        <w:t>1,9</w:t>
      </w:r>
      <w:r w:rsidR="00BE4CB6">
        <w:t xml:space="preserve"> </w:t>
      </w:r>
      <w:r w:rsidR="000719FD" w:rsidRPr="00CB56C6">
        <w:t xml:space="preserve">% auf Privat-quartiere, </w:t>
      </w:r>
      <w:r w:rsidR="00CB56C6" w:rsidRPr="00CB56C6">
        <w:t>4,3</w:t>
      </w:r>
      <w:r w:rsidR="00BE4CB6">
        <w:t xml:space="preserve"> </w:t>
      </w:r>
      <w:r w:rsidR="000719FD" w:rsidRPr="00CB56C6">
        <w:t>% auf Jugendherbergen</w:t>
      </w:r>
      <w:r w:rsidR="009B05CC" w:rsidRPr="00CB56C6">
        <w:t xml:space="preserve"> und</w:t>
      </w:r>
      <w:r w:rsidR="000719FD" w:rsidRPr="00CB56C6">
        <w:t xml:space="preserve"> Camping</w:t>
      </w:r>
      <w:r w:rsidR="005204DF" w:rsidRPr="00CB56C6">
        <w:t xml:space="preserve">plätze und </w:t>
      </w:r>
      <w:r w:rsidR="00CB56C6" w:rsidRPr="00CB56C6">
        <w:t>6,1</w:t>
      </w:r>
      <w:r w:rsidR="00BE4CB6">
        <w:t xml:space="preserve"> </w:t>
      </w:r>
      <w:r w:rsidR="009B05CC" w:rsidRPr="00CB56C6">
        <w:t>% auf übrige Unterkünfte (z.B. r</w:t>
      </w:r>
      <w:r w:rsidR="00D4495A" w:rsidRPr="00CB56C6">
        <w:t>eligiöse Unterkünfte).</w:t>
      </w:r>
    </w:p>
    <w:p w:rsidR="00DB6D1F" w:rsidRPr="00B47C42" w:rsidRDefault="00DB6D1F" w:rsidP="003A1318">
      <w:pPr>
        <w:jc w:val="both"/>
        <w:outlineLvl w:val="0"/>
      </w:pPr>
    </w:p>
    <w:p w:rsidR="0016310C" w:rsidRDefault="0016310C" w:rsidP="0016310C">
      <w:pPr>
        <w:rPr>
          <w:b/>
        </w:rPr>
      </w:pPr>
      <w:r w:rsidRPr="00097D14">
        <w:rPr>
          <w:b/>
        </w:rPr>
        <w:t>Die Bedeutung der Umlandgemeinden</w:t>
      </w:r>
    </w:p>
    <w:p w:rsidR="004A0366" w:rsidRPr="00097D14" w:rsidRDefault="004A0366" w:rsidP="0016310C">
      <w:pPr>
        <w:rPr>
          <w:b/>
        </w:rPr>
      </w:pPr>
    </w:p>
    <w:p w:rsidR="0016310C" w:rsidRPr="009346D1" w:rsidRDefault="0016310C" w:rsidP="00A36298">
      <w:pPr>
        <w:jc w:val="both"/>
        <w:rPr>
          <w:b/>
        </w:rPr>
      </w:pPr>
      <w:r>
        <w:rPr>
          <w:color w:val="000000"/>
        </w:rPr>
        <w:t xml:space="preserve">Seit 2007 arbeitet die Tourismus Salzburg GmbH mit den neun Umgebungsorten </w:t>
      </w:r>
      <w:proofErr w:type="spellStart"/>
      <w:r>
        <w:rPr>
          <w:color w:val="000000"/>
        </w:rPr>
        <w:t>Anthering</w:t>
      </w:r>
      <w:proofErr w:type="spellEnd"/>
      <w:r>
        <w:rPr>
          <w:color w:val="000000"/>
        </w:rPr>
        <w:t xml:space="preserve">, Bergheim, </w:t>
      </w:r>
      <w:proofErr w:type="spellStart"/>
      <w:r>
        <w:rPr>
          <w:color w:val="000000"/>
        </w:rPr>
        <w:t>Elixhausen</w:t>
      </w:r>
      <w:proofErr w:type="spellEnd"/>
      <w:r>
        <w:rPr>
          <w:color w:val="000000"/>
        </w:rPr>
        <w:t xml:space="preserve">, Elsbethen, Eugendorf, </w:t>
      </w:r>
      <w:proofErr w:type="spellStart"/>
      <w:r>
        <w:rPr>
          <w:color w:val="000000"/>
        </w:rPr>
        <w:t>Großgmain</w:t>
      </w:r>
      <w:proofErr w:type="spellEnd"/>
      <w:r>
        <w:rPr>
          <w:color w:val="000000"/>
        </w:rPr>
        <w:t xml:space="preserve">, Grödig, Hallwang und Wals-Siezenheim eng zusammen. Ein Vergleich der statistischen Daten </w:t>
      </w:r>
      <w:r w:rsidRPr="009346D1">
        <w:rPr>
          <w:color w:val="000000"/>
        </w:rPr>
        <w:t>zeigt, dass die Umlandgemeinden in ähnlichem Ausmaß vom Städtetourismus profitieren. Die Betriebe verzeichneten in Su</w:t>
      </w:r>
      <w:r w:rsidR="009B05CC" w:rsidRPr="009346D1">
        <w:rPr>
          <w:color w:val="000000"/>
        </w:rPr>
        <w:t xml:space="preserve">mme </w:t>
      </w:r>
      <w:r w:rsidR="009346D1" w:rsidRPr="009346D1">
        <w:rPr>
          <w:color w:val="000000"/>
        </w:rPr>
        <w:t>828.002</w:t>
      </w:r>
      <w:r w:rsidR="009B05CC" w:rsidRPr="009346D1">
        <w:rPr>
          <w:color w:val="000000"/>
        </w:rPr>
        <w:t xml:space="preserve"> Nächtigungen (+</w:t>
      </w:r>
      <w:r w:rsidR="009346D1" w:rsidRPr="009346D1">
        <w:rPr>
          <w:color w:val="000000"/>
        </w:rPr>
        <w:t>0</w:t>
      </w:r>
      <w:r w:rsidR="009B05CC" w:rsidRPr="009346D1">
        <w:rPr>
          <w:color w:val="000000"/>
        </w:rPr>
        <w:t>,</w:t>
      </w:r>
      <w:r w:rsidR="009346D1" w:rsidRPr="009346D1">
        <w:rPr>
          <w:color w:val="000000"/>
        </w:rPr>
        <w:t>5</w:t>
      </w:r>
      <w:r w:rsidR="00BE4CB6">
        <w:rPr>
          <w:color w:val="000000"/>
        </w:rPr>
        <w:t xml:space="preserve"> </w:t>
      </w:r>
      <w:r w:rsidRPr="009346D1">
        <w:rPr>
          <w:color w:val="000000"/>
        </w:rPr>
        <w:t xml:space="preserve">% zum Vorjahr). Bei einer Aufenthaltsdauer von 1,8 Nächten </w:t>
      </w:r>
      <w:r w:rsidR="009B05CC" w:rsidRPr="009346D1">
        <w:rPr>
          <w:color w:val="000000"/>
        </w:rPr>
        <w:t>waren die 5</w:t>
      </w:r>
      <w:r w:rsidR="009346D1" w:rsidRPr="009346D1">
        <w:rPr>
          <w:color w:val="000000"/>
        </w:rPr>
        <w:t>.050 Betten zu 44</w:t>
      </w:r>
      <w:r w:rsidR="009B05CC" w:rsidRPr="009346D1">
        <w:rPr>
          <w:color w:val="000000"/>
        </w:rPr>
        <w:t>,</w:t>
      </w:r>
      <w:r w:rsidR="009346D1" w:rsidRPr="009346D1">
        <w:rPr>
          <w:color w:val="000000"/>
        </w:rPr>
        <w:t>13</w:t>
      </w:r>
      <w:r w:rsidR="00BE4CB6">
        <w:rPr>
          <w:color w:val="000000"/>
        </w:rPr>
        <w:t xml:space="preserve"> </w:t>
      </w:r>
      <w:r w:rsidRPr="009346D1">
        <w:rPr>
          <w:color w:val="000000"/>
        </w:rPr>
        <w:t xml:space="preserve">% ausgelastet. </w:t>
      </w:r>
    </w:p>
    <w:p w:rsidR="0016310C" w:rsidRPr="00C510CC" w:rsidRDefault="0016310C" w:rsidP="003A1318">
      <w:pPr>
        <w:jc w:val="both"/>
        <w:outlineLvl w:val="0"/>
      </w:pPr>
    </w:p>
    <w:p w:rsidR="000719FD" w:rsidRDefault="000719FD" w:rsidP="003A1318">
      <w:pPr>
        <w:jc w:val="both"/>
        <w:outlineLvl w:val="0"/>
        <w:rPr>
          <w:b/>
        </w:rPr>
      </w:pPr>
      <w:r w:rsidRPr="00C510CC">
        <w:rPr>
          <w:b/>
        </w:rPr>
        <w:t>Tagestourismus</w:t>
      </w:r>
    </w:p>
    <w:p w:rsidR="004A0366" w:rsidRPr="00C510CC" w:rsidRDefault="004A0366" w:rsidP="003A1318">
      <w:pPr>
        <w:jc w:val="both"/>
        <w:outlineLvl w:val="0"/>
        <w:rPr>
          <w:b/>
        </w:rPr>
      </w:pPr>
    </w:p>
    <w:p w:rsidR="000719FD" w:rsidRPr="00C510CC" w:rsidRDefault="001337C2" w:rsidP="003A1318">
      <w:pPr>
        <w:jc w:val="both"/>
        <w:outlineLvl w:val="0"/>
      </w:pPr>
      <w:r>
        <w:t>Auf Basis einer</w:t>
      </w:r>
      <w:r w:rsidR="000719FD" w:rsidRPr="00C510CC">
        <w:t xml:space="preserve"> Studie aus dem Jahr 2007 </w:t>
      </w:r>
      <w:r>
        <w:t xml:space="preserve">kann errechnet werden, dass </w:t>
      </w:r>
      <w:r w:rsidR="000719FD" w:rsidRPr="00C510CC">
        <w:t xml:space="preserve">jährlich rund </w:t>
      </w:r>
      <w:r w:rsidR="005204DF">
        <w:br/>
      </w:r>
      <w:r w:rsidR="005A20C2" w:rsidRPr="00A36298">
        <w:t>6,5</w:t>
      </w:r>
      <w:r w:rsidR="000719FD" w:rsidRPr="00A36298">
        <w:t xml:space="preserve"> Mio. Tagesgäste die</w:t>
      </w:r>
      <w:r w:rsidR="000719FD" w:rsidRPr="00C510CC">
        <w:t xml:space="preserve"> Stadt Salzburg</w:t>
      </w:r>
      <w:r>
        <w:t xml:space="preserve"> besuchen</w:t>
      </w:r>
      <w:r w:rsidR="000719FD" w:rsidRPr="00C510CC">
        <w:t xml:space="preserve">. </w:t>
      </w:r>
      <w:r w:rsidR="00A36298">
        <w:t xml:space="preserve">3,5 Mio. dieser Gäste </w:t>
      </w:r>
      <w:r w:rsidR="008A367F">
        <w:t>sind Einheimische</w:t>
      </w:r>
      <w:r w:rsidR="00A36298">
        <w:t xml:space="preserve"> </w:t>
      </w:r>
      <w:r w:rsidR="008B6576">
        <w:t>(</w:t>
      </w:r>
      <w:r w:rsidR="009F7672">
        <w:t xml:space="preserve">rund 70 % </w:t>
      </w:r>
      <w:r w:rsidR="009F7672" w:rsidRPr="009F7672">
        <w:t xml:space="preserve">aus dem österreichischen Umfeld und 30 </w:t>
      </w:r>
      <w:r w:rsidR="009F7672">
        <w:t>% aus dem benachbarten Bayern</w:t>
      </w:r>
      <w:r w:rsidR="008B6576">
        <w:t>)</w:t>
      </w:r>
      <w:r w:rsidR="009F7672">
        <w:t xml:space="preserve">, </w:t>
      </w:r>
      <w:r w:rsidR="00220C1B">
        <w:br/>
      </w:r>
      <w:r w:rsidR="009F7672">
        <w:t>3 Mio. sind Touristen</w:t>
      </w:r>
      <w:r w:rsidR="00A36298">
        <w:t xml:space="preserve">. </w:t>
      </w:r>
      <w:r w:rsidR="000719FD" w:rsidRPr="008A367F">
        <w:t xml:space="preserve">Die beliebtesten Tätigkeiten der Tagestouristen sind Essen gehen, Bummeln und Einkaufen. </w:t>
      </w:r>
      <w:r w:rsidR="000719FD" w:rsidRPr="002B6E4F">
        <w:t xml:space="preserve">Die Saisonspitzen werden in den Sommermonaten </w:t>
      </w:r>
      <w:r w:rsidR="000719FD" w:rsidRPr="009F7672">
        <w:t>erreicht. Durchschnittlich</w:t>
      </w:r>
      <w:r w:rsidR="000719FD" w:rsidRPr="00A36298">
        <w:t xml:space="preserve"> bleibt der Tagesbesucher fünfeinhalb Stunden in der </w:t>
      </w:r>
      <w:r w:rsidR="00002A32" w:rsidRPr="00A36298">
        <w:t>Stadt, p</w:t>
      </w:r>
      <w:r w:rsidR="00354A2D" w:rsidRPr="00A36298">
        <w:t>ro Kopf werden rund € 35</w:t>
      </w:r>
      <w:r w:rsidR="00002A32" w:rsidRPr="00A36298">
        <w:t>,00</w:t>
      </w:r>
      <w:r w:rsidR="000719FD" w:rsidRPr="00A36298">
        <w:t xml:space="preserve"> ausgegeben.</w:t>
      </w:r>
    </w:p>
    <w:p w:rsidR="000719FD" w:rsidRPr="00C510CC" w:rsidRDefault="000719FD" w:rsidP="003A1318">
      <w:pPr>
        <w:jc w:val="both"/>
        <w:outlineLvl w:val="0"/>
      </w:pPr>
    </w:p>
    <w:p w:rsidR="000719FD" w:rsidRDefault="00C510CC" w:rsidP="003A1318">
      <w:pPr>
        <w:jc w:val="both"/>
        <w:outlineLvl w:val="0"/>
        <w:rPr>
          <w:b/>
        </w:rPr>
      </w:pPr>
      <w:r w:rsidRPr="00C510CC">
        <w:rPr>
          <w:b/>
        </w:rPr>
        <w:t>Tourismus als Wirtschaftsfaktor</w:t>
      </w:r>
    </w:p>
    <w:p w:rsidR="004A0366" w:rsidRPr="00C510CC" w:rsidRDefault="004A0366" w:rsidP="003A1318">
      <w:pPr>
        <w:jc w:val="both"/>
        <w:outlineLvl w:val="0"/>
        <w:rPr>
          <w:b/>
        </w:rPr>
      </w:pPr>
    </w:p>
    <w:p w:rsidR="000719FD" w:rsidRPr="00A36298" w:rsidRDefault="000719FD" w:rsidP="003A1318">
      <w:pPr>
        <w:jc w:val="both"/>
      </w:pPr>
      <w:r w:rsidRPr="00A36298">
        <w:t>Der Gesamt-Tourismus-Umsatz in</w:t>
      </w:r>
      <w:r w:rsidR="00AE4088" w:rsidRPr="00A36298">
        <w:t xml:space="preserve"> der Stadt Salzburg beträgt </w:t>
      </w:r>
      <w:r w:rsidR="00A36298" w:rsidRPr="00A36298">
        <w:t>ca.</w:t>
      </w:r>
      <w:r w:rsidR="00AE4088" w:rsidRPr="00A36298">
        <w:t xml:space="preserve"> eine Milliarde Euro</w:t>
      </w:r>
      <w:r w:rsidRPr="00A36298">
        <w:t xml:space="preserve">. Der Anteil des Tourismus am lokalen Bruttosozialprodukt liegt </w:t>
      </w:r>
      <w:r w:rsidR="00354A2D" w:rsidRPr="00A36298">
        <w:t>einer Schätzung nach bei rund 15</w:t>
      </w:r>
      <w:r w:rsidR="00AE4088" w:rsidRPr="00A36298">
        <w:t xml:space="preserve"> bis 20</w:t>
      </w:r>
      <w:r w:rsidR="00BE4CB6" w:rsidRPr="00A36298">
        <w:t xml:space="preserve"> </w:t>
      </w:r>
      <w:r w:rsidRPr="00A36298">
        <w:t xml:space="preserve">%. </w:t>
      </w:r>
      <w:r w:rsidR="00BE4CB6" w:rsidRPr="00A36298">
        <w:t>Rund</w:t>
      </w:r>
      <w:r w:rsidR="00AE4088" w:rsidRPr="00A36298">
        <w:t xml:space="preserve"> 10.000 Arbeitsplätze</w:t>
      </w:r>
      <w:r w:rsidRPr="00A36298">
        <w:t xml:space="preserve"> werden durch den Tourismus in der Stadt gesichert.</w:t>
      </w:r>
    </w:p>
    <w:p w:rsidR="000719FD" w:rsidRPr="00A36298" w:rsidRDefault="000719FD" w:rsidP="003A1318">
      <w:pPr>
        <w:jc w:val="both"/>
      </w:pPr>
    </w:p>
    <w:p w:rsidR="000719FD" w:rsidRDefault="000719FD" w:rsidP="003A1318">
      <w:pPr>
        <w:jc w:val="both"/>
      </w:pPr>
      <w:r w:rsidRPr="00A36298">
        <w:t>Salzburg hat neben seiner Tourismuskompetenz und seiner Rolle als Kulturstadt</w:t>
      </w:r>
      <w:r w:rsidRPr="00C510CC">
        <w:t xml:space="preserve"> auch generell als wirtschaftliches Zentrum eine große Bedeutung. Die Wirtschaftskraft des Zentralraums Salzburg erstreckt sich nicht nur auf das gleichnamige Bundesland sondern auf die ganze Region, die Teile des benachbarten Bayerns ebenso umfasst wie Teile Oberösterreichs. Bedeutende Dienstleistungs- und Handelsbetriebe wie etwa die Porsche Holding oder die Spar Handelsgesells</w:t>
      </w:r>
      <w:r w:rsidR="00BE4CB6">
        <w:t>chaft</w:t>
      </w:r>
      <w:r w:rsidRPr="00C510CC">
        <w:t xml:space="preserve"> haben hier ihren Sitz. </w:t>
      </w:r>
      <w:r w:rsidR="005204DF">
        <w:t>Auch r</w:t>
      </w:r>
      <w:r w:rsidRPr="00C510CC">
        <w:t xml:space="preserve">enommierte Banken wie das Bankhaus </w:t>
      </w:r>
      <w:proofErr w:type="spellStart"/>
      <w:r w:rsidRPr="00C510CC">
        <w:t>Spängler</w:t>
      </w:r>
      <w:proofErr w:type="spellEnd"/>
      <w:r w:rsidRPr="00C510CC">
        <w:t xml:space="preserve"> und Wüstenrot </w:t>
      </w:r>
      <w:r w:rsidR="005204DF">
        <w:t>so</w:t>
      </w:r>
      <w:r w:rsidR="005204DF" w:rsidRPr="00C510CC">
        <w:t xml:space="preserve">wie zahlreiche große Speditionen </w:t>
      </w:r>
      <w:r w:rsidRPr="00C510CC">
        <w:t xml:space="preserve">nützen den zentralen Standort für </w:t>
      </w:r>
      <w:r w:rsidR="005204DF">
        <w:t>i</w:t>
      </w:r>
      <w:r w:rsidRPr="00C510CC">
        <w:t>hre Hauptniederlassung.</w:t>
      </w:r>
      <w:r w:rsidR="003421BA">
        <w:t xml:space="preserve"> </w:t>
      </w:r>
    </w:p>
    <w:p w:rsidR="00D42BA7" w:rsidRDefault="00D42BA7" w:rsidP="003A1318">
      <w:pPr>
        <w:jc w:val="both"/>
      </w:pPr>
    </w:p>
    <w:p w:rsidR="00D42BA7" w:rsidRDefault="00D42BA7" w:rsidP="003A1318">
      <w:pPr>
        <w:jc w:val="both"/>
      </w:pPr>
      <w:r>
        <w:t xml:space="preserve">Die aktuellen Wertschöpfungsstudien wichtiger touristischer Veranstalter belegen die wirtschaftliche Bedeutung für die Stadt: € 183 Mio. Wertschöpfung werden jährlich direkt oder indirekt von den Salzburger Festspielen geschafft. In ihrer Wirkung bringen sie der öffentlichen Hand rund € 77 Mio. an Steuern und Abgaben. </w:t>
      </w:r>
      <w:r w:rsidR="004252A3">
        <w:t xml:space="preserve">Der Christkindlmarkt am Dom- und Residenzplatz verweist auf eine Wertschöpfung von rund € 60 Mio. und die Salzburger Kulturvereinigung spricht von gesamtwirtschaftlichen Effekten von € 9 Mio. im Jahr. </w:t>
      </w:r>
    </w:p>
    <w:p w:rsidR="004252A3" w:rsidRDefault="004252A3" w:rsidP="003A1318">
      <w:pPr>
        <w:jc w:val="both"/>
      </w:pPr>
    </w:p>
    <w:p w:rsidR="000719FD" w:rsidRPr="00C510CC" w:rsidRDefault="000719FD" w:rsidP="003A1318">
      <w:pPr>
        <w:jc w:val="both"/>
        <w:outlineLvl w:val="0"/>
        <w:rPr>
          <w:b/>
        </w:rPr>
      </w:pPr>
      <w:r w:rsidRPr="00C510CC">
        <w:rPr>
          <w:b/>
        </w:rPr>
        <w:t>Besucherzahlen der wichtigsten Sehenswürdigkeiten 201</w:t>
      </w:r>
      <w:r w:rsidR="003421BA">
        <w:rPr>
          <w:b/>
        </w:rPr>
        <w:t>8</w:t>
      </w:r>
      <w:r w:rsidRPr="00C510CC">
        <w:rPr>
          <w:b/>
        </w:rPr>
        <w:t>:</w:t>
      </w:r>
    </w:p>
    <w:p w:rsidR="000719FD" w:rsidRPr="00C510CC" w:rsidRDefault="000719FD" w:rsidP="003A1318">
      <w:pPr>
        <w:jc w:val="both"/>
        <w:outlineLvl w:val="0"/>
        <w:rPr>
          <w:b/>
        </w:rPr>
      </w:pPr>
    </w:p>
    <w:p w:rsidR="000719FD" w:rsidRPr="00C510CC" w:rsidRDefault="000719FD" w:rsidP="003A1318">
      <w:pPr>
        <w:numPr>
          <w:ilvl w:val="0"/>
          <w:numId w:val="5"/>
        </w:numPr>
        <w:jc w:val="both"/>
        <w:rPr>
          <w:szCs w:val="24"/>
        </w:rPr>
      </w:pPr>
      <w:r w:rsidRPr="00C510CC">
        <w:rPr>
          <w:szCs w:val="24"/>
        </w:rPr>
        <w:t>Festu</w:t>
      </w:r>
      <w:r w:rsidR="00246444">
        <w:rPr>
          <w:szCs w:val="24"/>
        </w:rPr>
        <w:t xml:space="preserve">ng Hohensalzburg </w:t>
      </w:r>
      <w:r w:rsidR="00DC7308">
        <w:rPr>
          <w:lang w:eastAsia="en-US"/>
        </w:rPr>
        <w:t xml:space="preserve">1.290.000  </w:t>
      </w:r>
      <w:r w:rsidR="003421BA">
        <w:rPr>
          <w:szCs w:val="24"/>
        </w:rPr>
        <w:t>(2017</w:t>
      </w:r>
      <w:r w:rsidRPr="00C510CC">
        <w:rPr>
          <w:szCs w:val="24"/>
        </w:rPr>
        <w:t xml:space="preserve">: </w:t>
      </w:r>
      <w:r w:rsidR="003421BA" w:rsidRPr="00CA7F56">
        <w:rPr>
          <w:szCs w:val="24"/>
        </w:rPr>
        <w:t>1.1</w:t>
      </w:r>
      <w:r w:rsidR="003421BA">
        <w:rPr>
          <w:szCs w:val="24"/>
        </w:rPr>
        <w:t>97.552</w:t>
      </w:r>
      <w:r w:rsidRPr="00C510CC">
        <w:rPr>
          <w:szCs w:val="24"/>
        </w:rPr>
        <w:t xml:space="preserve">)  </w:t>
      </w:r>
    </w:p>
    <w:p w:rsidR="000719FD" w:rsidRPr="00C510CC" w:rsidRDefault="000719FD" w:rsidP="003A1318">
      <w:pPr>
        <w:numPr>
          <w:ilvl w:val="0"/>
          <w:numId w:val="5"/>
        </w:numPr>
        <w:jc w:val="both"/>
        <w:rPr>
          <w:szCs w:val="24"/>
        </w:rPr>
      </w:pPr>
      <w:r w:rsidRPr="00C510CC">
        <w:rPr>
          <w:szCs w:val="24"/>
        </w:rPr>
        <w:t xml:space="preserve">Festungsmuseum </w:t>
      </w:r>
      <w:r w:rsidR="00174055">
        <w:rPr>
          <w:rFonts w:ascii="Helvetica" w:hAnsi="Helvetica" w:cs="Helvetica"/>
        </w:rPr>
        <w:t>720.048</w:t>
      </w:r>
      <w:r w:rsidR="00246444">
        <w:rPr>
          <w:rFonts w:ascii="Helvetica" w:hAnsi="Helvetica" w:cs="Helvetica"/>
        </w:rPr>
        <w:t xml:space="preserve"> (201</w:t>
      </w:r>
      <w:r w:rsidR="003421BA">
        <w:rPr>
          <w:rFonts w:ascii="Helvetica" w:hAnsi="Helvetica" w:cs="Helvetica"/>
        </w:rPr>
        <w:t>7</w:t>
      </w:r>
      <w:r w:rsidRPr="00C510CC">
        <w:rPr>
          <w:rFonts w:ascii="Helvetica" w:hAnsi="Helvetica" w:cs="Helvetica"/>
        </w:rPr>
        <w:t xml:space="preserve">: </w:t>
      </w:r>
      <w:r w:rsidR="003421BA">
        <w:rPr>
          <w:rFonts w:ascii="Helvetica" w:hAnsi="Helvetica" w:cs="Helvetica"/>
        </w:rPr>
        <w:t>695.747</w:t>
      </w:r>
      <w:r w:rsidRPr="00C510CC">
        <w:rPr>
          <w:szCs w:val="24"/>
        </w:rPr>
        <w:t>)</w:t>
      </w:r>
    </w:p>
    <w:p w:rsidR="000719FD" w:rsidRPr="00C510CC" w:rsidRDefault="000719FD" w:rsidP="003A1318">
      <w:pPr>
        <w:numPr>
          <w:ilvl w:val="0"/>
          <w:numId w:val="5"/>
        </w:numPr>
        <w:jc w:val="both"/>
        <w:rPr>
          <w:szCs w:val="24"/>
        </w:rPr>
      </w:pPr>
      <w:r w:rsidRPr="00C510CC">
        <w:rPr>
          <w:szCs w:val="24"/>
        </w:rPr>
        <w:t>Mozarts Geburtshaus un</w:t>
      </w:r>
      <w:r w:rsidR="00246444">
        <w:rPr>
          <w:szCs w:val="24"/>
        </w:rPr>
        <w:t>d Mozart-Wohnhaus</w:t>
      </w:r>
      <w:r w:rsidR="006D75AF">
        <w:rPr>
          <w:szCs w:val="24"/>
        </w:rPr>
        <w:t xml:space="preserve">: </w:t>
      </w:r>
      <w:r w:rsidR="006D75AF" w:rsidRPr="006D75AF">
        <w:rPr>
          <w:szCs w:val="24"/>
        </w:rPr>
        <w:t xml:space="preserve">548.048 </w:t>
      </w:r>
      <w:r w:rsidR="00246444">
        <w:rPr>
          <w:szCs w:val="24"/>
        </w:rPr>
        <w:t>(201</w:t>
      </w:r>
      <w:r w:rsidR="003421BA">
        <w:rPr>
          <w:szCs w:val="24"/>
        </w:rPr>
        <w:t>7</w:t>
      </w:r>
      <w:r w:rsidRPr="00C510CC">
        <w:rPr>
          <w:szCs w:val="24"/>
        </w:rPr>
        <w:t xml:space="preserve">: </w:t>
      </w:r>
      <w:r w:rsidR="003421BA">
        <w:rPr>
          <w:szCs w:val="24"/>
        </w:rPr>
        <w:t>519.040</w:t>
      </w:r>
      <w:r w:rsidRPr="00C510CC">
        <w:rPr>
          <w:szCs w:val="24"/>
        </w:rPr>
        <w:t>)</w:t>
      </w:r>
    </w:p>
    <w:p w:rsidR="000719FD" w:rsidRPr="00C510CC" w:rsidRDefault="00246444" w:rsidP="003A1318">
      <w:pPr>
        <w:numPr>
          <w:ilvl w:val="0"/>
          <w:numId w:val="5"/>
        </w:numPr>
        <w:jc w:val="both"/>
        <w:rPr>
          <w:szCs w:val="24"/>
        </w:rPr>
      </w:pPr>
      <w:r>
        <w:rPr>
          <w:szCs w:val="24"/>
        </w:rPr>
        <w:t xml:space="preserve">Zoo Salzburg: </w:t>
      </w:r>
      <w:r w:rsidR="006F004F" w:rsidRPr="006F004F">
        <w:rPr>
          <w:szCs w:val="24"/>
        </w:rPr>
        <w:t xml:space="preserve">390.983 </w:t>
      </w:r>
      <w:r>
        <w:rPr>
          <w:szCs w:val="24"/>
        </w:rPr>
        <w:t>(201</w:t>
      </w:r>
      <w:r w:rsidR="003421BA">
        <w:rPr>
          <w:szCs w:val="24"/>
        </w:rPr>
        <w:t>7</w:t>
      </w:r>
      <w:r w:rsidR="000719FD" w:rsidRPr="00C510CC">
        <w:rPr>
          <w:szCs w:val="24"/>
        </w:rPr>
        <w:t xml:space="preserve">: </w:t>
      </w:r>
      <w:r w:rsidR="003421BA">
        <w:rPr>
          <w:szCs w:val="24"/>
        </w:rPr>
        <w:t>345.258</w:t>
      </w:r>
      <w:r w:rsidR="000719FD" w:rsidRPr="00C510CC">
        <w:rPr>
          <w:szCs w:val="24"/>
        </w:rPr>
        <w:t>)</w:t>
      </w:r>
    </w:p>
    <w:p w:rsidR="000719FD" w:rsidRPr="00CC20DD" w:rsidRDefault="00246444" w:rsidP="003A1318">
      <w:pPr>
        <w:numPr>
          <w:ilvl w:val="0"/>
          <w:numId w:val="5"/>
        </w:numPr>
        <w:jc w:val="both"/>
        <w:rPr>
          <w:szCs w:val="24"/>
        </w:rPr>
      </w:pPr>
      <w:r>
        <w:rPr>
          <w:szCs w:val="24"/>
        </w:rPr>
        <w:t xml:space="preserve">Haus der Natur: </w:t>
      </w:r>
      <w:r w:rsidR="00CC20DD" w:rsidRPr="00CC20DD">
        <w:rPr>
          <w:szCs w:val="24"/>
        </w:rPr>
        <w:t>321.061</w:t>
      </w:r>
      <w:r w:rsidR="00CC20DD">
        <w:rPr>
          <w:szCs w:val="24"/>
        </w:rPr>
        <w:t xml:space="preserve"> </w:t>
      </w:r>
      <w:r>
        <w:rPr>
          <w:szCs w:val="24"/>
        </w:rPr>
        <w:t>(201</w:t>
      </w:r>
      <w:r w:rsidR="003421BA">
        <w:rPr>
          <w:szCs w:val="24"/>
        </w:rPr>
        <w:t>7</w:t>
      </w:r>
      <w:r w:rsidR="000719FD" w:rsidRPr="00C510CC">
        <w:rPr>
          <w:szCs w:val="24"/>
        </w:rPr>
        <w:t xml:space="preserve">: </w:t>
      </w:r>
      <w:r w:rsidR="003421BA">
        <w:rPr>
          <w:szCs w:val="24"/>
        </w:rPr>
        <w:t>332.153</w:t>
      </w:r>
      <w:r w:rsidR="000719FD" w:rsidRPr="00C510CC">
        <w:rPr>
          <w:szCs w:val="24"/>
        </w:rPr>
        <w:t xml:space="preserve">) </w:t>
      </w:r>
    </w:p>
    <w:p w:rsidR="000719FD" w:rsidRPr="00C510CC" w:rsidRDefault="000719FD" w:rsidP="003A1318">
      <w:pPr>
        <w:numPr>
          <w:ilvl w:val="0"/>
          <w:numId w:val="5"/>
        </w:numPr>
        <w:jc w:val="both"/>
        <w:rPr>
          <w:sz w:val="18"/>
          <w:szCs w:val="24"/>
        </w:rPr>
      </w:pPr>
      <w:r w:rsidRPr="00C510CC">
        <w:t>Schloss und Park von Hellbrunn mit Wasserspielen</w:t>
      </w:r>
      <w:r w:rsidR="00F271B8">
        <w:t>: 288.123</w:t>
      </w:r>
      <w:r w:rsidR="000E2AA8">
        <w:rPr>
          <w:rFonts w:ascii="Verdana" w:hAnsi="Verdana"/>
          <w:color w:val="1F497D"/>
          <w:sz w:val="20"/>
          <w:szCs w:val="20"/>
        </w:rPr>
        <w:t xml:space="preserve"> </w:t>
      </w:r>
      <w:r w:rsidRPr="00C510CC">
        <w:t>(2</w:t>
      </w:r>
      <w:r w:rsidR="00246444">
        <w:t>01</w:t>
      </w:r>
      <w:r w:rsidR="00F271B8">
        <w:t>7</w:t>
      </w:r>
      <w:r w:rsidRPr="00C510CC">
        <w:t xml:space="preserve">: </w:t>
      </w:r>
      <w:r w:rsidR="00F271B8" w:rsidRPr="000E2AA8">
        <w:t>265.965</w:t>
      </w:r>
      <w:r w:rsidRPr="00C510CC">
        <w:t xml:space="preserve">) </w:t>
      </w:r>
    </w:p>
    <w:p w:rsidR="00530F76" w:rsidRDefault="005204DF" w:rsidP="00530F76">
      <w:pPr>
        <w:numPr>
          <w:ilvl w:val="0"/>
          <w:numId w:val="5"/>
        </w:numPr>
        <w:jc w:val="both"/>
        <w:rPr>
          <w:szCs w:val="24"/>
        </w:rPr>
      </w:pPr>
      <w:proofErr w:type="spellStart"/>
      <w:r>
        <w:rPr>
          <w:szCs w:val="24"/>
        </w:rPr>
        <w:t>DomQ</w:t>
      </w:r>
      <w:r w:rsidR="000719FD" w:rsidRPr="00C510CC">
        <w:rPr>
          <w:szCs w:val="24"/>
        </w:rPr>
        <w:t>uartier</w:t>
      </w:r>
      <w:proofErr w:type="spellEnd"/>
      <w:r w:rsidR="00BE4CB6">
        <w:rPr>
          <w:szCs w:val="24"/>
        </w:rPr>
        <w:t>:</w:t>
      </w:r>
      <w:r w:rsidR="0054532A">
        <w:rPr>
          <w:szCs w:val="24"/>
        </w:rPr>
        <w:t xml:space="preserve"> </w:t>
      </w:r>
      <w:r w:rsidR="00530F76">
        <w:rPr>
          <w:szCs w:val="24"/>
        </w:rPr>
        <w:t>117.028</w:t>
      </w:r>
      <w:r w:rsidR="00246444">
        <w:rPr>
          <w:szCs w:val="24"/>
        </w:rPr>
        <w:t xml:space="preserve"> (201</w:t>
      </w:r>
      <w:r w:rsidR="003421BA">
        <w:rPr>
          <w:szCs w:val="24"/>
        </w:rPr>
        <w:t>7</w:t>
      </w:r>
      <w:r w:rsidR="000719FD" w:rsidRPr="00C510CC">
        <w:rPr>
          <w:szCs w:val="24"/>
        </w:rPr>
        <w:t xml:space="preserve">: </w:t>
      </w:r>
      <w:r w:rsidR="003421BA">
        <w:rPr>
          <w:szCs w:val="24"/>
        </w:rPr>
        <w:t>125.208</w:t>
      </w:r>
      <w:r w:rsidR="000719FD" w:rsidRPr="00C510CC">
        <w:rPr>
          <w:szCs w:val="24"/>
        </w:rPr>
        <w:t>)</w:t>
      </w:r>
      <w:r w:rsidR="00530F76">
        <w:rPr>
          <w:szCs w:val="24"/>
        </w:rPr>
        <w:t xml:space="preserve"> </w:t>
      </w:r>
    </w:p>
    <w:p w:rsidR="000719FD" w:rsidRPr="00C510CC" w:rsidRDefault="000719FD" w:rsidP="00530F76">
      <w:pPr>
        <w:numPr>
          <w:ilvl w:val="0"/>
          <w:numId w:val="5"/>
        </w:numPr>
        <w:jc w:val="both"/>
        <w:rPr>
          <w:szCs w:val="24"/>
        </w:rPr>
      </w:pPr>
      <w:r w:rsidRPr="00C510CC">
        <w:rPr>
          <w:szCs w:val="24"/>
        </w:rPr>
        <w:t>Salzburg Museum inkl</w:t>
      </w:r>
      <w:r w:rsidR="00246444">
        <w:rPr>
          <w:szCs w:val="24"/>
        </w:rPr>
        <w:t xml:space="preserve">. Panorama Museum: </w:t>
      </w:r>
      <w:r w:rsidR="00174055">
        <w:rPr>
          <w:szCs w:val="24"/>
        </w:rPr>
        <w:t>112.949</w:t>
      </w:r>
      <w:r w:rsidR="003421BA">
        <w:rPr>
          <w:szCs w:val="24"/>
        </w:rPr>
        <w:t xml:space="preserve"> (2017</w:t>
      </w:r>
      <w:r w:rsidRPr="00C510CC">
        <w:rPr>
          <w:szCs w:val="24"/>
        </w:rPr>
        <w:t xml:space="preserve">: </w:t>
      </w:r>
      <w:r w:rsidR="003421BA">
        <w:rPr>
          <w:szCs w:val="24"/>
        </w:rPr>
        <w:t>99.732</w:t>
      </w:r>
      <w:r w:rsidRPr="00C510CC">
        <w:rPr>
          <w:szCs w:val="24"/>
        </w:rPr>
        <w:t>)</w:t>
      </w:r>
    </w:p>
    <w:p w:rsidR="000719FD" w:rsidRPr="00C510CC" w:rsidRDefault="000719FD" w:rsidP="003A1318">
      <w:pPr>
        <w:numPr>
          <w:ilvl w:val="0"/>
          <w:numId w:val="5"/>
        </w:numPr>
        <w:jc w:val="both"/>
        <w:rPr>
          <w:szCs w:val="24"/>
        </w:rPr>
      </w:pPr>
      <w:r w:rsidRPr="00C510CC">
        <w:rPr>
          <w:szCs w:val="24"/>
        </w:rPr>
        <w:t>Museum der Moderne Mönchsberg/</w:t>
      </w:r>
      <w:proofErr w:type="spellStart"/>
      <w:r w:rsidRPr="00C510CC">
        <w:rPr>
          <w:szCs w:val="24"/>
        </w:rPr>
        <w:t>Rupertinum</w:t>
      </w:r>
      <w:proofErr w:type="spellEnd"/>
      <w:r w:rsidRPr="00C510CC">
        <w:rPr>
          <w:szCs w:val="24"/>
        </w:rPr>
        <w:t xml:space="preserve">: </w:t>
      </w:r>
      <w:r w:rsidR="002569A9" w:rsidRPr="002569A9">
        <w:rPr>
          <w:szCs w:val="24"/>
        </w:rPr>
        <w:t>115.174</w:t>
      </w:r>
      <w:r w:rsidR="002569A9">
        <w:rPr>
          <w:rFonts w:ascii="Helvetica" w:hAnsi="Helvetica" w:cs="Helvetica"/>
          <w:sz w:val="20"/>
          <w:szCs w:val="20"/>
        </w:rPr>
        <w:t xml:space="preserve"> </w:t>
      </w:r>
      <w:r w:rsidRPr="00C510CC">
        <w:rPr>
          <w:szCs w:val="24"/>
        </w:rPr>
        <w:t>(201</w:t>
      </w:r>
      <w:r w:rsidR="003421BA">
        <w:rPr>
          <w:szCs w:val="24"/>
        </w:rPr>
        <w:t>7</w:t>
      </w:r>
      <w:r w:rsidRPr="00C510CC">
        <w:rPr>
          <w:szCs w:val="24"/>
        </w:rPr>
        <w:t xml:space="preserve">: </w:t>
      </w:r>
      <w:r w:rsidR="00246444" w:rsidRPr="00C510CC">
        <w:rPr>
          <w:szCs w:val="24"/>
        </w:rPr>
        <w:t>104.000</w:t>
      </w:r>
      <w:r w:rsidRPr="00C510CC">
        <w:rPr>
          <w:szCs w:val="24"/>
        </w:rPr>
        <w:t>)</w:t>
      </w:r>
    </w:p>
    <w:p w:rsidR="000719FD" w:rsidRPr="00C510CC" w:rsidRDefault="005204DF" w:rsidP="003A1318">
      <w:pPr>
        <w:numPr>
          <w:ilvl w:val="0"/>
          <w:numId w:val="5"/>
        </w:numPr>
        <w:jc w:val="both"/>
        <w:rPr>
          <w:szCs w:val="24"/>
        </w:rPr>
      </w:pPr>
      <w:r>
        <w:rPr>
          <w:szCs w:val="24"/>
        </w:rPr>
        <w:t>Stiegl-</w:t>
      </w:r>
      <w:proofErr w:type="spellStart"/>
      <w:r w:rsidR="00246444">
        <w:rPr>
          <w:szCs w:val="24"/>
        </w:rPr>
        <w:t>Brauwelt</w:t>
      </w:r>
      <w:proofErr w:type="spellEnd"/>
      <w:r w:rsidR="00246444">
        <w:rPr>
          <w:szCs w:val="24"/>
        </w:rPr>
        <w:t xml:space="preserve">: </w:t>
      </w:r>
      <w:r w:rsidR="001F11A0" w:rsidRPr="00956C7E">
        <w:rPr>
          <w:szCs w:val="24"/>
        </w:rPr>
        <w:t>78.</w:t>
      </w:r>
      <w:r w:rsidR="001F598D">
        <w:rPr>
          <w:szCs w:val="24"/>
        </w:rPr>
        <w:t>600</w:t>
      </w:r>
      <w:r w:rsidR="001F11A0" w:rsidRPr="00956C7E">
        <w:rPr>
          <w:color w:val="000000"/>
          <w:sz w:val="20"/>
          <w:szCs w:val="20"/>
        </w:rPr>
        <w:t xml:space="preserve"> </w:t>
      </w:r>
      <w:r w:rsidR="00246444" w:rsidRPr="00956C7E">
        <w:rPr>
          <w:szCs w:val="24"/>
        </w:rPr>
        <w:t>(</w:t>
      </w:r>
      <w:r w:rsidR="00246444">
        <w:rPr>
          <w:szCs w:val="24"/>
        </w:rPr>
        <w:t>201</w:t>
      </w:r>
      <w:r w:rsidR="003421BA">
        <w:rPr>
          <w:szCs w:val="24"/>
        </w:rPr>
        <w:t>7</w:t>
      </w:r>
      <w:r w:rsidR="000719FD" w:rsidRPr="00C510CC">
        <w:rPr>
          <w:szCs w:val="24"/>
        </w:rPr>
        <w:t xml:space="preserve">: </w:t>
      </w:r>
      <w:r w:rsidR="003421BA">
        <w:rPr>
          <w:szCs w:val="24"/>
        </w:rPr>
        <w:t>78.579</w:t>
      </w:r>
      <w:r w:rsidR="000719FD" w:rsidRPr="00C510CC">
        <w:rPr>
          <w:szCs w:val="24"/>
        </w:rPr>
        <w:t xml:space="preserve">) </w:t>
      </w:r>
    </w:p>
    <w:p w:rsidR="000719FD" w:rsidRPr="00C510CC" w:rsidRDefault="000719FD" w:rsidP="003A1318">
      <w:pPr>
        <w:numPr>
          <w:ilvl w:val="0"/>
          <w:numId w:val="5"/>
        </w:numPr>
        <w:jc w:val="both"/>
        <w:rPr>
          <w:szCs w:val="24"/>
        </w:rPr>
      </w:pPr>
      <w:r w:rsidRPr="00C510CC">
        <w:rPr>
          <w:szCs w:val="24"/>
        </w:rPr>
        <w:t>Spielzeug</w:t>
      </w:r>
      <w:r w:rsidR="005204DF">
        <w:rPr>
          <w:szCs w:val="24"/>
        </w:rPr>
        <w:t xml:space="preserve"> M</w:t>
      </w:r>
      <w:r w:rsidRPr="00C510CC">
        <w:rPr>
          <w:szCs w:val="24"/>
        </w:rPr>
        <w:t xml:space="preserve">useum: </w:t>
      </w:r>
      <w:r w:rsidR="00174055">
        <w:rPr>
          <w:rFonts w:ascii="Helvetica" w:hAnsi="Helvetica" w:cs="Helvetica"/>
        </w:rPr>
        <w:t>77.342</w:t>
      </w:r>
      <w:r w:rsidR="00246444">
        <w:rPr>
          <w:rFonts w:ascii="Helvetica" w:hAnsi="Helvetica" w:cs="Helvetica"/>
        </w:rPr>
        <w:t xml:space="preserve"> (201</w:t>
      </w:r>
      <w:r w:rsidR="003421BA">
        <w:rPr>
          <w:rFonts w:ascii="Helvetica" w:hAnsi="Helvetica" w:cs="Helvetica"/>
        </w:rPr>
        <w:t>7</w:t>
      </w:r>
      <w:r w:rsidRPr="00C510CC">
        <w:rPr>
          <w:rFonts w:ascii="Helvetica" w:hAnsi="Helvetica" w:cs="Helvetica"/>
        </w:rPr>
        <w:t xml:space="preserve">: </w:t>
      </w:r>
      <w:r w:rsidR="003421BA">
        <w:rPr>
          <w:rFonts w:ascii="Helvetica" w:hAnsi="Helvetica" w:cs="Helvetica"/>
        </w:rPr>
        <w:t>74.528</w:t>
      </w:r>
      <w:r w:rsidRPr="00C510CC">
        <w:rPr>
          <w:szCs w:val="24"/>
        </w:rPr>
        <w:t>)</w:t>
      </w:r>
    </w:p>
    <w:p w:rsidR="000719FD" w:rsidRDefault="000719FD" w:rsidP="003A1318">
      <w:pPr>
        <w:numPr>
          <w:ilvl w:val="0"/>
          <w:numId w:val="5"/>
        </w:numPr>
        <w:jc w:val="both"/>
        <w:rPr>
          <w:szCs w:val="24"/>
        </w:rPr>
      </w:pPr>
      <w:r w:rsidRPr="00C510CC">
        <w:rPr>
          <w:szCs w:val="24"/>
        </w:rPr>
        <w:t>Volkskunde</w:t>
      </w:r>
      <w:r w:rsidR="005204DF">
        <w:rPr>
          <w:szCs w:val="24"/>
        </w:rPr>
        <w:t xml:space="preserve"> M</w:t>
      </w:r>
      <w:r w:rsidRPr="00C510CC">
        <w:rPr>
          <w:szCs w:val="24"/>
        </w:rPr>
        <w:t xml:space="preserve">useum: </w:t>
      </w:r>
      <w:r w:rsidR="00174055">
        <w:rPr>
          <w:rFonts w:ascii="Helvetica" w:hAnsi="Helvetica" w:cs="Helvetica"/>
        </w:rPr>
        <w:t>16.859</w:t>
      </w:r>
      <w:r w:rsidRPr="00C510CC">
        <w:rPr>
          <w:rFonts w:ascii="Helvetica" w:hAnsi="Helvetica" w:cs="Helvetica"/>
        </w:rPr>
        <w:t xml:space="preserve"> (201</w:t>
      </w:r>
      <w:r w:rsidR="003421BA">
        <w:rPr>
          <w:rFonts w:ascii="Helvetica" w:hAnsi="Helvetica" w:cs="Helvetica"/>
        </w:rPr>
        <w:t>7</w:t>
      </w:r>
      <w:r w:rsidRPr="00C510CC">
        <w:rPr>
          <w:rFonts w:ascii="Helvetica" w:hAnsi="Helvetica" w:cs="Helvetica"/>
        </w:rPr>
        <w:t xml:space="preserve">: </w:t>
      </w:r>
      <w:r w:rsidR="003421BA">
        <w:rPr>
          <w:rFonts w:ascii="Helvetica" w:hAnsi="Helvetica" w:cs="Helvetica"/>
        </w:rPr>
        <w:t>15.550</w:t>
      </w:r>
      <w:r w:rsidRPr="00C510CC">
        <w:rPr>
          <w:szCs w:val="24"/>
        </w:rPr>
        <w:t xml:space="preserve">) </w:t>
      </w:r>
    </w:p>
    <w:p w:rsidR="00F775FE" w:rsidRPr="00C510CC" w:rsidRDefault="00F775FE" w:rsidP="00F775FE">
      <w:pPr>
        <w:ind w:left="720"/>
        <w:jc w:val="both"/>
        <w:rPr>
          <w:szCs w:val="24"/>
        </w:rPr>
      </w:pPr>
    </w:p>
    <w:p w:rsidR="000719FD" w:rsidRDefault="00C510CC" w:rsidP="003A1318">
      <w:pPr>
        <w:jc w:val="both"/>
        <w:outlineLvl w:val="0"/>
        <w:rPr>
          <w:b/>
        </w:rPr>
      </w:pPr>
      <w:r w:rsidRPr="00C510CC">
        <w:rPr>
          <w:b/>
        </w:rPr>
        <w:t>Gastronomie</w:t>
      </w:r>
    </w:p>
    <w:p w:rsidR="004A0366" w:rsidRPr="00C510CC" w:rsidRDefault="004A0366" w:rsidP="003A1318">
      <w:pPr>
        <w:jc w:val="both"/>
        <w:outlineLvl w:val="0"/>
        <w:rPr>
          <w:b/>
        </w:rPr>
      </w:pPr>
    </w:p>
    <w:p w:rsidR="000719FD" w:rsidRPr="00C510CC" w:rsidRDefault="008E5903" w:rsidP="003A1318">
      <w:pPr>
        <w:jc w:val="both"/>
        <w:outlineLvl w:val="0"/>
      </w:pPr>
      <w:r w:rsidRPr="004E68B8">
        <w:t xml:space="preserve">Salzburg zählt über </w:t>
      </w:r>
      <w:r w:rsidR="00F314B3" w:rsidRPr="004E68B8">
        <w:t>1.000</w:t>
      </w:r>
      <w:r w:rsidR="000719FD" w:rsidRPr="004E68B8">
        <w:t xml:space="preserve"> gas</w:t>
      </w:r>
      <w:r w:rsidRPr="004E68B8">
        <w:t xml:space="preserve">tronomische Betriebe, darunter </w:t>
      </w:r>
      <w:r w:rsidR="004E68B8" w:rsidRPr="004E68B8">
        <w:t>174</w:t>
      </w:r>
      <w:r w:rsidR="000719FD" w:rsidRPr="004E68B8">
        <w:t xml:space="preserve"> Cafés bzw. Café-Restaurants, </w:t>
      </w:r>
      <w:r w:rsidR="004E68B8" w:rsidRPr="004E68B8">
        <w:t>5</w:t>
      </w:r>
      <w:r w:rsidR="00F314B3" w:rsidRPr="004E68B8">
        <w:t>2</w:t>
      </w:r>
      <w:r w:rsidR="000719FD" w:rsidRPr="004E68B8">
        <w:t xml:space="preserve"> Gasthäuser, </w:t>
      </w:r>
      <w:r w:rsidR="004E68B8" w:rsidRPr="004E68B8">
        <w:t>218</w:t>
      </w:r>
      <w:r w:rsidR="000719FD" w:rsidRPr="004E68B8">
        <w:t xml:space="preserve"> Restaurants und </w:t>
      </w:r>
      <w:r w:rsidR="004E68B8" w:rsidRPr="004E68B8">
        <w:t>110</w:t>
      </w:r>
      <w:r w:rsidR="000719FD" w:rsidRPr="004E68B8">
        <w:t xml:space="preserve"> Bars und Nachtlokale. </w:t>
      </w:r>
      <w:r w:rsidR="0056057B" w:rsidRPr="004E68B8">
        <w:t>30</w:t>
      </w:r>
      <w:r w:rsidR="000719FD" w:rsidRPr="004E68B8">
        <w:t xml:space="preserve"> Rest</w:t>
      </w:r>
      <w:r w:rsidR="00002A32" w:rsidRPr="004E68B8">
        <w:t xml:space="preserve">aurants in der Stadt und </w:t>
      </w:r>
      <w:r w:rsidR="000719FD" w:rsidRPr="004E68B8">
        <w:t>Umgebung wurden im Jahr 201</w:t>
      </w:r>
      <w:r w:rsidR="0056057B" w:rsidRPr="004E68B8">
        <w:t>8</w:t>
      </w:r>
      <w:r w:rsidR="000719FD" w:rsidRPr="004E68B8">
        <w:t xml:space="preserve"> vom renommierten Gourmet</w:t>
      </w:r>
      <w:r w:rsidR="000719FD" w:rsidRPr="0056057B">
        <w:t xml:space="preserve">-Führer Gault </w:t>
      </w:r>
      <w:proofErr w:type="spellStart"/>
      <w:r w:rsidR="000719FD" w:rsidRPr="0056057B">
        <w:t>Mil</w:t>
      </w:r>
      <w:r w:rsidRPr="0056057B">
        <w:t>lau</w:t>
      </w:r>
      <w:proofErr w:type="spellEnd"/>
      <w:r w:rsidRPr="0056057B">
        <w:t xml:space="preserve"> mit Hauben ausgezeichnet (</w:t>
      </w:r>
      <w:r w:rsidR="0056057B">
        <w:t>vier</w:t>
      </w:r>
      <w:r w:rsidR="005204DF" w:rsidRPr="0056057B">
        <w:t xml:space="preserve"> Restaurants mit drei Hauben, </w:t>
      </w:r>
      <w:r w:rsidR="0056057B">
        <w:t>acht</w:t>
      </w:r>
      <w:r w:rsidR="005204DF" w:rsidRPr="0056057B">
        <w:t xml:space="preserve"> Lokale mit zwei Hauben und </w:t>
      </w:r>
      <w:r w:rsidR="0056057B">
        <w:t>17</w:t>
      </w:r>
      <w:r w:rsidR="005204DF" w:rsidRPr="0056057B">
        <w:t xml:space="preserve"> Lokale mit einer Haube</w:t>
      </w:r>
      <w:r w:rsidR="000719FD" w:rsidRPr="0056057B">
        <w:t xml:space="preserve">). Der Guide Michelin hat in der Stadt Salzburg </w:t>
      </w:r>
      <w:r w:rsidR="005204DF" w:rsidRPr="0056057B">
        <w:t xml:space="preserve">zwei Restaurants mit zwei Sternen und </w:t>
      </w:r>
      <w:r w:rsidR="0056057B">
        <w:t>drei</w:t>
      </w:r>
      <w:r w:rsidR="000719FD" w:rsidRPr="0056057B">
        <w:t xml:space="preserve"> Restaurants mit einem Stern ausgezeichnet.</w:t>
      </w:r>
    </w:p>
    <w:p w:rsidR="000719FD" w:rsidRPr="00C510CC" w:rsidRDefault="000719FD" w:rsidP="003A1318">
      <w:pPr>
        <w:jc w:val="both"/>
        <w:outlineLvl w:val="0"/>
        <w:rPr>
          <w:b/>
        </w:rPr>
      </w:pPr>
    </w:p>
    <w:p w:rsidR="000719FD" w:rsidRDefault="00C510CC" w:rsidP="003A1318">
      <w:pPr>
        <w:jc w:val="both"/>
        <w:outlineLvl w:val="0"/>
        <w:rPr>
          <w:b/>
        </w:rPr>
      </w:pPr>
      <w:r w:rsidRPr="00C510CC">
        <w:rPr>
          <w:b/>
        </w:rPr>
        <w:t>Stadtführungen</w:t>
      </w:r>
    </w:p>
    <w:p w:rsidR="004A0366" w:rsidRPr="00C510CC" w:rsidRDefault="004A0366" w:rsidP="003A1318">
      <w:pPr>
        <w:jc w:val="both"/>
        <w:outlineLvl w:val="0"/>
        <w:rPr>
          <w:b/>
        </w:rPr>
      </w:pPr>
    </w:p>
    <w:p w:rsidR="000719FD" w:rsidRPr="00C510CC" w:rsidRDefault="000719FD" w:rsidP="003A1318">
      <w:pPr>
        <w:jc w:val="both"/>
      </w:pPr>
      <w:r w:rsidRPr="00C510CC">
        <w:t>Über 150 aktive, geprüfte Stadtführer bieten ihre Dienste für Touristen an. Es gibt die Stadtführungen zu Fuß, per Rad, mit dem Fiaker oder mit dem Kleinbus. Eine Standard-Führung dauert etwa 2,5 Stunden. Außerdem gibt es</w:t>
      </w:r>
      <w:r w:rsidR="006C285D">
        <w:t xml:space="preserve"> separate Führungen</w:t>
      </w:r>
      <w:r w:rsidRPr="00C510CC">
        <w:t xml:space="preserve"> zu Spezialthemen von Architektur über Mozart, Bier</w:t>
      </w:r>
      <w:r w:rsidR="00BE4CB6">
        <w:t>kultur</w:t>
      </w:r>
      <w:r w:rsidRPr="00C510CC">
        <w:t xml:space="preserve"> bis hin zur Volkskunde</w:t>
      </w:r>
      <w:r w:rsidR="006C285D">
        <w:t>.</w:t>
      </w:r>
    </w:p>
    <w:p w:rsidR="000719FD" w:rsidRPr="00C510CC" w:rsidRDefault="000719FD" w:rsidP="003A1318">
      <w:pPr>
        <w:jc w:val="both"/>
        <w:rPr>
          <w:b/>
          <w:bCs/>
        </w:rPr>
      </w:pPr>
    </w:p>
    <w:p w:rsidR="000719FD" w:rsidRDefault="00C510CC" w:rsidP="003A1318">
      <w:pPr>
        <w:jc w:val="both"/>
        <w:rPr>
          <w:b/>
          <w:bCs/>
        </w:rPr>
      </w:pPr>
      <w:r w:rsidRPr="00C510CC">
        <w:rPr>
          <w:b/>
          <w:bCs/>
        </w:rPr>
        <w:t>Salzburg Card</w:t>
      </w:r>
    </w:p>
    <w:p w:rsidR="004A0366" w:rsidRPr="00C510CC" w:rsidRDefault="004A0366" w:rsidP="003A1318">
      <w:pPr>
        <w:jc w:val="both"/>
        <w:rPr>
          <w:b/>
          <w:bCs/>
        </w:rPr>
      </w:pPr>
    </w:p>
    <w:p w:rsidR="00002A32" w:rsidRDefault="000719FD" w:rsidP="003A1318">
      <w:pPr>
        <w:jc w:val="both"/>
      </w:pPr>
      <w:r w:rsidRPr="00C510CC">
        <w:t xml:space="preserve">Diese Karte gewährt </w:t>
      </w:r>
      <w:r w:rsidR="006C285D">
        <w:t xml:space="preserve">den </w:t>
      </w:r>
      <w:r w:rsidRPr="00C510CC">
        <w:t>einmaligen freien Eintritt in alle Sehenswürdigkeiten</w:t>
      </w:r>
      <w:r w:rsidR="006C285D">
        <w:t xml:space="preserve"> und Museen</w:t>
      </w:r>
      <w:r w:rsidR="00002A32">
        <w:t xml:space="preserve"> der Stadt und inkludiert die Fahrt mit den</w:t>
      </w:r>
      <w:r w:rsidRPr="00C510CC">
        <w:t xml:space="preserve"> öffentlichen Verkehrsmittel</w:t>
      </w:r>
      <w:r w:rsidR="00002A32">
        <w:t xml:space="preserve">n. Außerdem </w:t>
      </w:r>
      <w:r w:rsidRPr="00C510CC">
        <w:t xml:space="preserve">kann </w:t>
      </w:r>
      <w:r w:rsidR="00002A32">
        <w:t xml:space="preserve">sie </w:t>
      </w:r>
      <w:r w:rsidRPr="00C510CC">
        <w:t>für viele weitere Vergünstigungen in Stadt und Land Salzburg in Anspruch genommen werden</w:t>
      </w:r>
      <w:r w:rsidRPr="006F65FC">
        <w:t xml:space="preserve">. </w:t>
      </w:r>
      <w:r w:rsidR="00002A32" w:rsidRPr="006F65FC">
        <w:t xml:space="preserve">Im Jahr </w:t>
      </w:r>
      <w:r w:rsidR="009346D1" w:rsidRPr="006F65FC">
        <w:t>2018</w:t>
      </w:r>
      <w:r w:rsidR="00002A32" w:rsidRPr="006F65FC">
        <w:t xml:space="preserve"> wurden </w:t>
      </w:r>
      <w:r w:rsidR="009346D1" w:rsidRPr="006F65FC">
        <w:rPr>
          <w:lang w:val="de-DE"/>
        </w:rPr>
        <w:t>254.991</w:t>
      </w:r>
      <w:r w:rsidR="00002A32" w:rsidRPr="006F65FC">
        <w:rPr>
          <w:lang w:val="de-DE"/>
        </w:rPr>
        <w:t xml:space="preserve"> (</w:t>
      </w:r>
      <w:r w:rsidR="00002A32" w:rsidRPr="006F65FC">
        <w:t>201</w:t>
      </w:r>
      <w:r w:rsidR="009346D1" w:rsidRPr="006F65FC">
        <w:t>7</w:t>
      </w:r>
      <w:r w:rsidR="00002A32" w:rsidRPr="006F65FC">
        <w:t xml:space="preserve">: </w:t>
      </w:r>
      <w:r w:rsidR="009346D1" w:rsidRPr="006F65FC">
        <w:rPr>
          <w:lang w:val="de-DE"/>
        </w:rPr>
        <w:t>233.742</w:t>
      </w:r>
      <w:r w:rsidR="00002A32" w:rsidRPr="006F65FC">
        <w:t xml:space="preserve">) Cards verkauft, mit denen </w:t>
      </w:r>
      <w:r w:rsidR="00720732" w:rsidRPr="006F65FC">
        <w:rPr>
          <w:lang w:val="de-DE"/>
        </w:rPr>
        <w:t>1</w:t>
      </w:r>
      <w:r w:rsidR="005204DF" w:rsidRPr="006F65FC">
        <w:rPr>
          <w:lang w:val="de-DE"/>
        </w:rPr>
        <w:t>.</w:t>
      </w:r>
      <w:r w:rsidR="009346D1" w:rsidRPr="006F65FC">
        <w:rPr>
          <w:lang w:val="de-DE"/>
        </w:rPr>
        <w:t>304.690</w:t>
      </w:r>
      <w:r w:rsidR="00720732" w:rsidRPr="006F65FC">
        <w:rPr>
          <w:lang w:val="de-DE"/>
        </w:rPr>
        <w:t xml:space="preserve"> </w:t>
      </w:r>
      <w:r w:rsidRPr="006F65FC">
        <w:t xml:space="preserve">Eintritte </w:t>
      </w:r>
      <w:r w:rsidR="00002A32" w:rsidRPr="006F65FC">
        <w:t xml:space="preserve">generiert wurden. </w:t>
      </w:r>
      <w:r w:rsidR="00650D52" w:rsidRPr="006F65FC">
        <w:t xml:space="preserve">Die Ausschüttung an die </w:t>
      </w:r>
      <w:r w:rsidRPr="006F65FC">
        <w:t xml:space="preserve">Museen und Sehenswürdigkeiten </w:t>
      </w:r>
      <w:r w:rsidR="00650D52" w:rsidRPr="006F65FC">
        <w:t xml:space="preserve">betrug </w:t>
      </w:r>
      <w:r w:rsidRPr="006F65FC">
        <w:t xml:space="preserve">€ </w:t>
      </w:r>
      <w:r w:rsidR="006F65FC" w:rsidRPr="006F65FC">
        <w:t>5</w:t>
      </w:r>
      <w:r w:rsidRPr="006F65FC">
        <w:t>,</w:t>
      </w:r>
      <w:r w:rsidR="006F65FC" w:rsidRPr="006F65FC">
        <w:t>38 Mio. (+12</w:t>
      </w:r>
      <w:r w:rsidR="00720732" w:rsidRPr="006F65FC">
        <w:t>,</w:t>
      </w:r>
      <w:r w:rsidR="006F65FC" w:rsidRPr="006F65FC">
        <w:t>5</w:t>
      </w:r>
      <w:r w:rsidR="00BE4CB6">
        <w:t xml:space="preserve"> </w:t>
      </w:r>
      <w:r w:rsidR="00650D52" w:rsidRPr="006F65FC">
        <w:t>%).</w:t>
      </w:r>
    </w:p>
    <w:p w:rsidR="00650D52" w:rsidRPr="00C510CC" w:rsidRDefault="00650D52" w:rsidP="003A1318">
      <w:pPr>
        <w:jc w:val="both"/>
      </w:pPr>
    </w:p>
    <w:p w:rsidR="000719FD" w:rsidRDefault="00C510CC" w:rsidP="003A1318">
      <w:pPr>
        <w:jc w:val="both"/>
        <w:rPr>
          <w:b/>
        </w:rPr>
      </w:pPr>
      <w:r w:rsidRPr="00C510CC">
        <w:rPr>
          <w:b/>
        </w:rPr>
        <w:t xml:space="preserve">Salzburg </w:t>
      </w:r>
      <w:proofErr w:type="spellStart"/>
      <w:r w:rsidRPr="00C510CC">
        <w:rPr>
          <w:b/>
        </w:rPr>
        <w:t>Congress</w:t>
      </w:r>
      <w:proofErr w:type="spellEnd"/>
      <w:r w:rsidR="006C285D">
        <w:rPr>
          <w:b/>
        </w:rPr>
        <w:t xml:space="preserve"> und Messezentrum Salzburg</w:t>
      </w:r>
    </w:p>
    <w:p w:rsidR="004A0366" w:rsidRPr="00C510CC" w:rsidRDefault="004A0366" w:rsidP="003A1318">
      <w:pPr>
        <w:jc w:val="both"/>
      </w:pPr>
    </w:p>
    <w:p w:rsidR="000719FD" w:rsidRPr="00A611A9" w:rsidRDefault="000719FD" w:rsidP="003A1318">
      <w:pPr>
        <w:jc w:val="both"/>
      </w:pPr>
      <w:r w:rsidRPr="002E1CDF">
        <w:t>Im Jahr 201</w:t>
      </w:r>
      <w:r w:rsidR="003F3C71" w:rsidRPr="002E1CDF">
        <w:t>8</w:t>
      </w:r>
      <w:r w:rsidR="002973FA" w:rsidRPr="002E1CDF">
        <w:t xml:space="preserve"> fanden </w:t>
      </w:r>
      <w:r w:rsidR="003F3C71" w:rsidRPr="002E1CDF">
        <w:t>112 (2017</w:t>
      </w:r>
      <w:r w:rsidRPr="002E1CDF">
        <w:t>: 1</w:t>
      </w:r>
      <w:r w:rsidR="003F3C71" w:rsidRPr="002E1CDF">
        <w:t>03</w:t>
      </w:r>
      <w:r w:rsidRPr="002E1CDF">
        <w:t xml:space="preserve">) Veranstaltungen mit </w:t>
      </w:r>
      <w:r w:rsidR="002C5F48" w:rsidRPr="002E1CDF">
        <w:t>rund</w:t>
      </w:r>
      <w:r w:rsidRPr="002E1CDF">
        <w:t xml:space="preserve"> </w:t>
      </w:r>
      <w:r w:rsidR="005A20C2" w:rsidRPr="002E1CDF">
        <w:t>98.000</w:t>
      </w:r>
      <w:r w:rsidRPr="002E1CDF">
        <w:t xml:space="preserve"> Besuchern i</w:t>
      </w:r>
      <w:r w:rsidR="002C5F48" w:rsidRPr="002E1CDF">
        <w:t>m</w:t>
      </w:r>
      <w:r w:rsidR="002973FA" w:rsidRPr="002E1CDF">
        <w:t xml:space="preserve"> Salzburg Congress statt. Die d</w:t>
      </w:r>
      <w:r w:rsidRPr="002E1CDF">
        <w:t>urchschnittliche Veranstaltungsdauer lag 201</w:t>
      </w:r>
      <w:r w:rsidR="002E1CDF" w:rsidRPr="002E1CDF">
        <w:t>8</w:t>
      </w:r>
      <w:r w:rsidRPr="002E1CDF">
        <w:t xml:space="preserve"> bei </w:t>
      </w:r>
      <w:r w:rsidR="002E1CDF" w:rsidRPr="002E1CDF">
        <w:t>2</w:t>
      </w:r>
      <w:r w:rsidR="00FB345B" w:rsidRPr="002E1CDF">
        <w:t>,</w:t>
      </w:r>
      <w:r w:rsidR="002E1CDF" w:rsidRPr="002E1CDF">
        <w:t>2</w:t>
      </w:r>
      <w:r w:rsidRPr="002E1CDF">
        <w:t xml:space="preserve"> Tagen – 201</w:t>
      </w:r>
      <w:r w:rsidR="002E1CDF" w:rsidRPr="002E1CDF">
        <w:t>7</w:t>
      </w:r>
      <w:r w:rsidRPr="002E1CDF">
        <w:t xml:space="preserve"> waren es </w:t>
      </w:r>
      <w:r w:rsidR="002973FA" w:rsidRPr="002E1CDF">
        <w:t>1</w:t>
      </w:r>
      <w:r w:rsidRPr="002E1CDF">
        <w:t>,</w:t>
      </w:r>
      <w:r w:rsidR="002E1CDF" w:rsidRPr="002E1CDF">
        <w:t>7</w:t>
      </w:r>
      <w:r w:rsidR="002973FA" w:rsidRPr="002E1CDF">
        <w:t xml:space="preserve"> Tage. Dies führte zu </w:t>
      </w:r>
      <w:r w:rsidR="00D33417" w:rsidRPr="002E1CDF">
        <w:t>254</w:t>
      </w:r>
      <w:r w:rsidR="002973FA" w:rsidRPr="002E1CDF">
        <w:t xml:space="preserve"> (20</w:t>
      </w:r>
      <w:r w:rsidR="00D33417" w:rsidRPr="002E1CDF">
        <w:t>17</w:t>
      </w:r>
      <w:r w:rsidRPr="002E1CDF">
        <w:t xml:space="preserve">: </w:t>
      </w:r>
      <w:r w:rsidR="002973FA" w:rsidRPr="002E1CDF">
        <w:t>2</w:t>
      </w:r>
      <w:r w:rsidR="00D33417" w:rsidRPr="002E1CDF">
        <w:t>13</w:t>
      </w:r>
      <w:r w:rsidRPr="002E1CDF">
        <w:t>) Belegungstagen im Kongresszent</w:t>
      </w:r>
      <w:r w:rsidRPr="00A611A9">
        <w:t xml:space="preserve">rum und brachte der Salzburger Hotellerie </w:t>
      </w:r>
      <w:r w:rsidR="002C5F48" w:rsidRPr="00A611A9">
        <w:t>etwa</w:t>
      </w:r>
      <w:r w:rsidRPr="00A611A9">
        <w:t xml:space="preserve"> </w:t>
      </w:r>
      <w:r w:rsidR="00D33417" w:rsidRPr="00A611A9">
        <w:t>45.000</w:t>
      </w:r>
      <w:r w:rsidRPr="00A611A9">
        <w:t xml:space="preserve"> Übernachtungen.</w:t>
      </w:r>
    </w:p>
    <w:p w:rsidR="000719FD" w:rsidRDefault="002C5F48" w:rsidP="003A1318">
      <w:pPr>
        <w:jc w:val="both"/>
      </w:pPr>
      <w:r w:rsidRPr="00A611A9">
        <w:lastRenderedPageBreak/>
        <w:t>Im Messezentrum Salzburg und der Salzburgarena fanden i</w:t>
      </w:r>
      <w:r w:rsidR="003716AA" w:rsidRPr="00A611A9">
        <w:t xml:space="preserve">m </w:t>
      </w:r>
      <w:r w:rsidR="005204DF" w:rsidRPr="00A611A9">
        <w:t>Vorjahr</w:t>
      </w:r>
      <w:r w:rsidR="000719FD" w:rsidRPr="00A611A9">
        <w:t xml:space="preserve"> </w:t>
      </w:r>
      <w:r w:rsidR="00A611A9" w:rsidRPr="00A611A9">
        <w:t>83</w:t>
      </w:r>
      <w:r w:rsidR="000719FD" w:rsidRPr="00A611A9">
        <w:t xml:space="preserve"> Veranstaltungen mit rund </w:t>
      </w:r>
      <w:r w:rsidR="00A611A9" w:rsidRPr="00A611A9">
        <w:t>650</w:t>
      </w:r>
      <w:r w:rsidR="003716AA" w:rsidRPr="00A611A9">
        <w:t>.000</w:t>
      </w:r>
      <w:r w:rsidR="000719FD" w:rsidRPr="00A611A9">
        <w:t xml:space="preserve"> Besuchern statt.</w:t>
      </w:r>
      <w:r w:rsidR="000719FD" w:rsidRPr="00C510CC">
        <w:t xml:space="preserve"> </w:t>
      </w:r>
    </w:p>
    <w:p w:rsidR="00354A2D" w:rsidRPr="00C510CC" w:rsidRDefault="00354A2D" w:rsidP="003A1318">
      <w:pPr>
        <w:jc w:val="both"/>
      </w:pPr>
    </w:p>
    <w:p w:rsidR="000719FD" w:rsidRDefault="000719FD" w:rsidP="003A1318">
      <w:pPr>
        <w:jc w:val="both"/>
        <w:rPr>
          <w:b/>
          <w:bCs/>
        </w:rPr>
      </w:pPr>
      <w:r w:rsidRPr="00113069">
        <w:rPr>
          <w:b/>
          <w:bCs/>
        </w:rPr>
        <w:t>Salzburg Airport W.</w:t>
      </w:r>
      <w:r w:rsidR="009378BD" w:rsidRPr="00113069">
        <w:rPr>
          <w:b/>
          <w:bCs/>
        </w:rPr>
        <w:t xml:space="preserve"> </w:t>
      </w:r>
      <w:r w:rsidRPr="00113069">
        <w:rPr>
          <w:b/>
          <w:bCs/>
        </w:rPr>
        <w:t>A. Mozart</w:t>
      </w:r>
    </w:p>
    <w:p w:rsidR="004A0366" w:rsidRPr="00113069" w:rsidRDefault="004A0366" w:rsidP="003A1318">
      <w:pPr>
        <w:jc w:val="both"/>
        <w:rPr>
          <w:b/>
          <w:bCs/>
        </w:rPr>
      </w:pPr>
    </w:p>
    <w:p w:rsidR="000719FD" w:rsidRPr="00C510CC" w:rsidRDefault="002C5F48" w:rsidP="003A1318">
      <w:pPr>
        <w:jc w:val="both"/>
        <w:rPr>
          <w:bCs/>
        </w:rPr>
      </w:pPr>
      <w:r w:rsidRPr="00113069">
        <w:rPr>
          <w:bCs/>
        </w:rPr>
        <w:t>Im Jahr</w:t>
      </w:r>
      <w:r w:rsidR="000B0D44" w:rsidRPr="00113069">
        <w:rPr>
          <w:bCs/>
        </w:rPr>
        <w:t xml:space="preserve"> 201</w:t>
      </w:r>
      <w:r w:rsidR="00113069" w:rsidRPr="00113069">
        <w:rPr>
          <w:bCs/>
        </w:rPr>
        <w:t>8</w:t>
      </w:r>
      <w:r w:rsidR="000B0D44" w:rsidRPr="00113069">
        <w:rPr>
          <w:bCs/>
        </w:rPr>
        <w:t xml:space="preserve"> wurden </w:t>
      </w:r>
      <w:r w:rsidR="00113069" w:rsidRPr="00113069">
        <w:rPr>
          <w:bCs/>
        </w:rPr>
        <w:t>1.844.362</w:t>
      </w:r>
      <w:r w:rsidR="000B0D44" w:rsidRPr="00113069">
        <w:rPr>
          <w:bCs/>
        </w:rPr>
        <w:t xml:space="preserve"> (201</w:t>
      </w:r>
      <w:r w:rsidR="00113069" w:rsidRPr="00113069">
        <w:rPr>
          <w:bCs/>
        </w:rPr>
        <w:t>7</w:t>
      </w:r>
      <w:r w:rsidR="000B0D44" w:rsidRPr="00113069">
        <w:rPr>
          <w:bCs/>
        </w:rPr>
        <w:t>: 1.</w:t>
      </w:r>
      <w:r w:rsidR="00113069" w:rsidRPr="00113069">
        <w:rPr>
          <w:bCs/>
        </w:rPr>
        <w:t>890.164</w:t>
      </w:r>
      <w:r w:rsidR="000719FD" w:rsidRPr="00113069">
        <w:rPr>
          <w:bCs/>
        </w:rPr>
        <w:t>) Passagiere abg</w:t>
      </w:r>
      <w:r w:rsidR="00113069" w:rsidRPr="00113069">
        <w:rPr>
          <w:bCs/>
        </w:rPr>
        <w:t>efertigt (-2,4 % zum Vorjahr). I</w:t>
      </w:r>
      <w:r w:rsidR="0063572F" w:rsidRPr="00113069">
        <w:rPr>
          <w:bCs/>
        </w:rPr>
        <w:t xml:space="preserve">m Linienverkehr </w:t>
      </w:r>
      <w:r w:rsidR="00113069" w:rsidRPr="00113069">
        <w:rPr>
          <w:bCs/>
        </w:rPr>
        <w:t>wurde</w:t>
      </w:r>
      <w:r w:rsidR="000719FD" w:rsidRPr="00113069">
        <w:rPr>
          <w:bCs/>
        </w:rPr>
        <w:t xml:space="preserve"> </w:t>
      </w:r>
      <w:r w:rsidR="00113069" w:rsidRPr="00113069">
        <w:rPr>
          <w:bCs/>
        </w:rPr>
        <w:t>ein</w:t>
      </w:r>
      <w:r w:rsidR="000719FD" w:rsidRPr="00113069">
        <w:rPr>
          <w:bCs/>
        </w:rPr>
        <w:t xml:space="preserve"> Passagieraufkommen </w:t>
      </w:r>
      <w:r w:rsidR="00113069" w:rsidRPr="00113069">
        <w:rPr>
          <w:bCs/>
        </w:rPr>
        <w:t>von</w:t>
      </w:r>
      <w:r w:rsidR="000719FD" w:rsidRPr="00113069">
        <w:rPr>
          <w:bCs/>
        </w:rPr>
        <w:t xml:space="preserve"> </w:t>
      </w:r>
      <w:r w:rsidR="00113069" w:rsidRPr="00113069">
        <w:rPr>
          <w:bCs/>
        </w:rPr>
        <w:t>1.461.883 (-</w:t>
      </w:r>
      <w:r w:rsidR="00113069" w:rsidRPr="00113069">
        <w:rPr>
          <w:bCs/>
        </w:rPr>
        <w:tab/>
        <w:t xml:space="preserve">3,6 %) </w:t>
      </w:r>
      <w:r w:rsidR="000719FD" w:rsidRPr="00113069">
        <w:rPr>
          <w:bCs/>
        </w:rPr>
        <w:t>Passagiere</w:t>
      </w:r>
      <w:r w:rsidR="00113069" w:rsidRPr="00113069">
        <w:rPr>
          <w:bCs/>
        </w:rPr>
        <w:t>n verzeichnet</w:t>
      </w:r>
      <w:r w:rsidR="000719FD" w:rsidRPr="00113069">
        <w:rPr>
          <w:bCs/>
        </w:rPr>
        <w:t>.</w:t>
      </w:r>
      <w:r w:rsidR="000B0D44" w:rsidRPr="00113069">
        <w:rPr>
          <w:bCs/>
        </w:rPr>
        <w:t xml:space="preserve"> </w:t>
      </w:r>
      <w:r w:rsidRPr="00113069">
        <w:rPr>
          <w:bCs/>
        </w:rPr>
        <w:t xml:space="preserve">Die </w:t>
      </w:r>
      <w:r w:rsidR="00A130F3" w:rsidRPr="00113069">
        <w:rPr>
          <w:bCs/>
        </w:rPr>
        <w:t>Luftfrach</w:t>
      </w:r>
      <w:r w:rsidRPr="00113069">
        <w:rPr>
          <w:bCs/>
        </w:rPr>
        <w:t>t (inkl. Luftfracht-</w:t>
      </w:r>
      <w:r w:rsidR="0063572F" w:rsidRPr="00113069">
        <w:rPr>
          <w:bCs/>
        </w:rPr>
        <w:t>Ersatztranspor</w:t>
      </w:r>
      <w:r w:rsidRPr="00113069">
        <w:rPr>
          <w:bCs/>
        </w:rPr>
        <w:t>t)</w:t>
      </w:r>
      <w:r w:rsidR="00A130F3" w:rsidRPr="00113069">
        <w:rPr>
          <w:bCs/>
        </w:rPr>
        <w:t xml:space="preserve"> </w:t>
      </w:r>
      <w:r w:rsidR="00113069" w:rsidRPr="00113069">
        <w:rPr>
          <w:bCs/>
        </w:rPr>
        <w:t>lag im abgelaufenen Jahr bei 11.247.645 kg</w:t>
      </w:r>
      <w:r w:rsidR="00A130F3" w:rsidRPr="00113069">
        <w:rPr>
          <w:bCs/>
        </w:rPr>
        <w:t>.</w:t>
      </w:r>
    </w:p>
    <w:p w:rsidR="000719FD" w:rsidRPr="00C510CC" w:rsidRDefault="000719FD" w:rsidP="003A1318">
      <w:pPr>
        <w:jc w:val="both"/>
      </w:pPr>
    </w:p>
    <w:p w:rsidR="000719FD" w:rsidRPr="009F7672" w:rsidRDefault="002C5F48" w:rsidP="003A1318">
      <w:pPr>
        <w:jc w:val="both"/>
        <w:rPr>
          <w:sz w:val="18"/>
          <w:szCs w:val="18"/>
        </w:rPr>
      </w:pPr>
      <w:r w:rsidRPr="009F7672">
        <w:rPr>
          <w:sz w:val="18"/>
          <w:szCs w:val="18"/>
        </w:rPr>
        <w:t xml:space="preserve">Stand: </w:t>
      </w:r>
      <w:r w:rsidR="00A611A9" w:rsidRPr="009F7672">
        <w:rPr>
          <w:sz w:val="18"/>
          <w:szCs w:val="18"/>
        </w:rPr>
        <w:t>19</w:t>
      </w:r>
      <w:r w:rsidR="002973FA" w:rsidRPr="009F7672">
        <w:rPr>
          <w:sz w:val="18"/>
          <w:szCs w:val="18"/>
        </w:rPr>
        <w:t xml:space="preserve">. </w:t>
      </w:r>
      <w:r w:rsidRPr="009F7672">
        <w:rPr>
          <w:sz w:val="18"/>
          <w:szCs w:val="18"/>
        </w:rPr>
        <w:t>Februar</w:t>
      </w:r>
      <w:r w:rsidR="00F775FE" w:rsidRPr="009F7672">
        <w:rPr>
          <w:sz w:val="18"/>
          <w:szCs w:val="18"/>
        </w:rPr>
        <w:t xml:space="preserve"> 2019</w:t>
      </w:r>
      <w:r w:rsidR="000719FD" w:rsidRPr="009F7672">
        <w:rPr>
          <w:i/>
          <w:sz w:val="18"/>
          <w:szCs w:val="18"/>
        </w:rPr>
        <w:t xml:space="preserve"> </w:t>
      </w:r>
    </w:p>
    <w:p w:rsidR="000719FD" w:rsidRPr="009F7672" w:rsidRDefault="000719FD" w:rsidP="003A1318">
      <w:pPr>
        <w:jc w:val="both"/>
        <w:rPr>
          <w:i/>
          <w:sz w:val="18"/>
          <w:szCs w:val="18"/>
        </w:rPr>
      </w:pPr>
      <w:r w:rsidRPr="009F7672">
        <w:rPr>
          <w:i/>
          <w:sz w:val="18"/>
          <w:szCs w:val="18"/>
        </w:rPr>
        <w:t>Quellen: Magistrat Salzburg: Stadtarchiv und Statistik bzw. eigene Quellen</w:t>
      </w:r>
    </w:p>
    <w:p w:rsidR="000719FD" w:rsidRPr="009F7672" w:rsidRDefault="000719FD" w:rsidP="003A1318">
      <w:pPr>
        <w:jc w:val="both"/>
        <w:rPr>
          <w:i/>
          <w:sz w:val="18"/>
          <w:szCs w:val="18"/>
        </w:rPr>
      </w:pPr>
    </w:p>
    <w:p w:rsidR="005A338D" w:rsidRPr="009F7672" w:rsidRDefault="005A338D" w:rsidP="003A1318">
      <w:pPr>
        <w:jc w:val="both"/>
        <w:rPr>
          <w:sz w:val="18"/>
          <w:szCs w:val="18"/>
          <w:lang w:val="de-DE"/>
        </w:rPr>
      </w:pPr>
    </w:p>
    <w:p w:rsidR="00D21C2A" w:rsidRPr="009F7672" w:rsidRDefault="00D21C2A" w:rsidP="00354A2D">
      <w:pPr>
        <w:rPr>
          <w:rFonts w:cs="Times New Roman"/>
          <w:sz w:val="18"/>
          <w:szCs w:val="18"/>
          <w:u w:val="single"/>
          <w:lang w:val="fr-FR"/>
        </w:rPr>
      </w:pPr>
      <w:r w:rsidRPr="009F7672">
        <w:rPr>
          <w:b/>
          <w:bCs/>
          <w:sz w:val="18"/>
          <w:szCs w:val="18"/>
          <w:lang w:val="de-DE"/>
        </w:rPr>
        <w:t xml:space="preserve">Weitere Informationen: </w:t>
      </w:r>
      <w:r w:rsidRPr="009F7672">
        <w:rPr>
          <w:b/>
          <w:bCs/>
          <w:sz w:val="18"/>
          <w:szCs w:val="18"/>
          <w:lang w:val="de-DE"/>
        </w:rPr>
        <w:br/>
      </w:r>
      <w:r w:rsidRPr="009F7672">
        <w:rPr>
          <w:sz w:val="18"/>
          <w:szCs w:val="18"/>
          <w:lang w:val="de-DE"/>
        </w:rPr>
        <w:t xml:space="preserve">Tourismus Salzburg, </w:t>
      </w:r>
      <w:proofErr w:type="spellStart"/>
      <w:r w:rsidRPr="009F7672">
        <w:rPr>
          <w:sz w:val="18"/>
          <w:szCs w:val="18"/>
          <w:lang w:val="de-DE"/>
        </w:rPr>
        <w:t>Auerspergstraße</w:t>
      </w:r>
      <w:proofErr w:type="spellEnd"/>
      <w:r w:rsidRPr="009F7672">
        <w:rPr>
          <w:sz w:val="18"/>
          <w:szCs w:val="18"/>
          <w:lang w:val="de-DE"/>
        </w:rPr>
        <w:t xml:space="preserve"> 6, 5020 Salzburg, Austria, </w:t>
      </w:r>
      <w:r w:rsidRPr="009F7672">
        <w:rPr>
          <w:sz w:val="18"/>
          <w:szCs w:val="18"/>
          <w:lang w:val="de-DE"/>
        </w:rPr>
        <w:br/>
        <w:t xml:space="preserve">Tel.: +43/662/889 87 - 0, </w:t>
      </w:r>
      <w:r w:rsidRPr="009F7672">
        <w:rPr>
          <w:sz w:val="18"/>
          <w:szCs w:val="18"/>
          <w:lang w:val="fr-FR"/>
        </w:rPr>
        <w:t xml:space="preserve">Fax: +43/662/889 87 - 32, </w:t>
      </w:r>
      <w:hyperlink r:id="rId9" w:history="1">
        <w:r w:rsidRPr="009F7672">
          <w:rPr>
            <w:rStyle w:val="Hyperlink"/>
            <w:color w:val="auto"/>
            <w:sz w:val="18"/>
            <w:szCs w:val="18"/>
            <w:lang w:val="fr-FR"/>
          </w:rPr>
          <w:t>www.salzburg.info</w:t>
        </w:r>
      </w:hyperlink>
      <w:r w:rsidRPr="009F7672">
        <w:rPr>
          <w:rStyle w:val="Hyperlink"/>
          <w:color w:val="auto"/>
          <w:sz w:val="18"/>
          <w:szCs w:val="18"/>
          <w:lang w:val="fr-FR"/>
        </w:rPr>
        <w:t xml:space="preserve">, </w:t>
      </w:r>
      <w:r w:rsidRPr="009F7672">
        <w:rPr>
          <w:sz w:val="18"/>
          <w:szCs w:val="18"/>
          <w:lang w:val="de-DE"/>
        </w:rPr>
        <w:t>#</w:t>
      </w:r>
      <w:proofErr w:type="spellStart"/>
      <w:r w:rsidRPr="009F7672">
        <w:rPr>
          <w:sz w:val="18"/>
          <w:szCs w:val="18"/>
          <w:lang w:val="de-DE"/>
        </w:rPr>
        <w:t>visitsalzburg</w:t>
      </w:r>
      <w:proofErr w:type="spellEnd"/>
    </w:p>
    <w:p w:rsidR="00D21C2A" w:rsidRPr="009F7672" w:rsidRDefault="00D21C2A" w:rsidP="003A1318">
      <w:pPr>
        <w:jc w:val="both"/>
        <w:rPr>
          <w:b/>
          <w:sz w:val="18"/>
          <w:szCs w:val="18"/>
          <w:lang w:val="de-DE"/>
        </w:rPr>
      </w:pPr>
    </w:p>
    <w:p w:rsidR="003D1E21" w:rsidRPr="00726D93" w:rsidRDefault="003D1E21" w:rsidP="003D1E21">
      <w:pPr>
        <w:jc w:val="both"/>
        <w:rPr>
          <w:b/>
          <w:sz w:val="18"/>
          <w:szCs w:val="20"/>
          <w:lang w:val="de-DE"/>
        </w:rPr>
      </w:pPr>
      <w:r w:rsidRPr="00726D93">
        <w:rPr>
          <w:b/>
          <w:sz w:val="18"/>
          <w:szCs w:val="20"/>
          <w:lang w:val="de-DE"/>
        </w:rPr>
        <w:t xml:space="preserve">Pressekontakt: </w:t>
      </w:r>
    </w:p>
    <w:p w:rsidR="003D1E21" w:rsidRPr="00F14F79" w:rsidRDefault="003D1E21" w:rsidP="003D1E21">
      <w:pPr>
        <w:jc w:val="both"/>
        <w:rPr>
          <w:sz w:val="18"/>
          <w:szCs w:val="20"/>
        </w:rPr>
      </w:pPr>
      <w:r w:rsidRPr="00F14F79">
        <w:rPr>
          <w:sz w:val="18"/>
          <w:szCs w:val="20"/>
          <w:lang w:val="de-DE"/>
        </w:rPr>
        <w:t xml:space="preserve">Martina C. </w:t>
      </w:r>
      <w:r w:rsidRPr="00726D93">
        <w:rPr>
          <w:sz w:val="18"/>
          <w:szCs w:val="20"/>
          <w:lang w:val="de-DE"/>
        </w:rPr>
        <w:t xml:space="preserve">Trummer, Tel.: +43/662/889 87 – </w:t>
      </w:r>
      <w:r>
        <w:rPr>
          <w:sz w:val="18"/>
          <w:szCs w:val="20"/>
          <w:lang w:val="de-DE"/>
        </w:rPr>
        <w:t>325</w:t>
      </w:r>
      <w:r w:rsidRPr="00726D93">
        <w:rPr>
          <w:sz w:val="18"/>
          <w:szCs w:val="20"/>
          <w:lang w:val="de-DE"/>
        </w:rPr>
        <w:t xml:space="preserve">, </w:t>
      </w:r>
      <w:hyperlink r:id="rId10" w:history="1">
        <w:r w:rsidRPr="00726D93">
          <w:rPr>
            <w:rStyle w:val="Hyperlink"/>
            <w:rFonts w:cs="Arial"/>
            <w:color w:val="auto"/>
            <w:sz w:val="18"/>
            <w:szCs w:val="20"/>
            <w:lang w:val="de-DE"/>
          </w:rPr>
          <w:t>presse@salzburg.info</w:t>
        </w:r>
      </w:hyperlink>
      <w:r w:rsidRPr="00726D93">
        <w:rPr>
          <w:sz w:val="18"/>
          <w:szCs w:val="20"/>
          <w:lang w:val="de-DE"/>
        </w:rPr>
        <w:t xml:space="preserve">  </w:t>
      </w:r>
    </w:p>
    <w:p w:rsidR="00D21C2A" w:rsidRPr="003D1E21" w:rsidRDefault="00D21C2A" w:rsidP="003D1E21">
      <w:pPr>
        <w:jc w:val="both"/>
        <w:rPr>
          <w:b/>
          <w:sz w:val="18"/>
          <w:szCs w:val="18"/>
        </w:rPr>
      </w:pPr>
      <w:bookmarkStart w:id="0" w:name="_GoBack"/>
      <w:bookmarkEnd w:id="0"/>
    </w:p>
    <w:sectPr w:rsidR="00D21C2A" w:rsidRPr="003D1E21" w:rsidSect="00CE1CDF">
      <w:headerReference w:type="default" r:id="rId11"/>
      <w:footerReference w:type="default" r:id="rId12"/>
      <w:pgSz w:w="11906" w:h="16838"/>
      <w:pgMar w:top="2268"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B05" w:rsidRDefault="001E6B05" w:rsidP="00790AA5">
      <w:r>
        <w:separator/>
      </w:r>
    </w:p>
  </w:endnote>
  <w:endnote w:type="continuationSeparator" w:id="0">
    <w:p w:rsidR="001E6B05" w:rsidRDefault="001E6B05"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05" w:rsidRDefault="001E6B05" w:rsidP="006B2844">
    <w:pPr>
      <w:pStyle w:val="Kopfzeile"/>
    </w:pPr>
  </w:p>
  <w:p w:rsidR="001E6B05" w:rsidRDefault="003D1E21" w:rsidP="006B2844">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63489" type="#_x0000_t75" style="position:absolute;margin-left:-17.7pt;margin-top:-46.75pt;width:500.25pt;height:65.25pt;z-index:-251659264;visibility:visible;mso-wrap-style:square;mso-wrap-distance-left:9pt;mso-wrap-distance-top:0;mso-wrap-distance-right:9pt;mso-wrap-distance-bottom:0;mso-position-horizontal:absolute;mso-position-horizontal-relative:text;mso-position-vertical:absolute;mso-position-vertical-relative:text" wrapcoords="-32 0 -32 21352 21600 21352 21600 0 -32 0">
          <v:imagedata r:id="rId1"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B05" w:rsidRDefault="001E6B05" w:rsidP="00790AA5">
      <w:r>
        <w:separator/>
      </w:r>
    </w:p>
  </w:footnote>
  <w:footnote w:type="continuationSeparator" w:id="0">
    <w:p w:rsidR="001E6B05" w:rsidRDefault="001E6B05"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05" w:rsidRDefault="003D1E21">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63490" type="#_x0000_t75" style="position:absolute;margin-left:379.85pt;margin-top:1.9pt;width:109.45pt;height:52.9pt;z-index:-251658240;visibility:visible;mso-wrap-style:square;mso-wrap-distance-left:9pt;mso-wrap-distance-top:0;mso-wrap-distance-right:9pt;mso-wrap-distance-bottom:0;mso-position-horizontal:absolute;mso-position-horizontal-relative:text;mso-position-vertical:absolute;mso-position-vertical-relative:text" wrapcoords="-148 0 -148 21296 21600 21296 21600 0 -148 0">
          <v:imagedata r:id="rId1" o:title=""/>
          <w10:wrap type="tight"/>
        </v:shape>
      </w:pict>
    </w:r>
  </w:p>
  <w:p w:rsidR="005E6FEA" w:rsidRPr="00476685" w:rsidRDefault="005E6FEA" w:rsidP="005E6FEA">
    <w:pPr>
      <w:tabs>
        <w:tab w:val="left" w:pos="6804"/>
      </w:tabs>
      <w:rPr>
        <w:sz w:val="20"/>
        <w:szCs w:val="20"/>
      </w:rPr>
    </w:pPr>
    <w:r w:rsidRPr="00305D76">
      <w:rPr>
        <w:sz w:val="28"/>
        <w:szCs w:val="28"/>
      </w:rPr>
      <w:t xml:space="preserve">PRESSEINFORMATION </w:t>
    </w:r>
  </w:p>
  <w:p w:rsidR="001E6B05" w:rsidRDefault="001E6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63491"/>
    <o:shapelayout v:ext="edit">
      <o:idmap v:ext="edit" data="6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B2844"/>
    <w:rsid w:val="00001868"/>
    <w:rsid w:val="00002A32"/>
    <w:rsid w:val="00003000"/>
    <w:rsid w:val="0000340A"/>
    <w:rsid w:val="0000560E"/>
    <w:rsid w:val="00014A5E"/>
    <w:rsid w:val="000225AF"/>
    <w:rsid w:val="0003372E"/>
    <w:rsid w:val="00033EB6"/>
    <w:rsid w:val="00036C81"/>
    <w:rsid w:val="0004106D"/>
    <w:rsid w:val="00044317"/>
    <w:rsid w:val="0006136A"/>
    <w:rsid w:val="0006625D"/>
    <w:rsid w:val="000719FD"/>
    <w:rsid w:val="00080ED9"/>
    <w:rsid w:val="000A1430"/>
    <w:rsid w:val="000A3B35"/>
    <w:rsid w:val="000A47F0"/>
    <w:rsid w:val="000A6AEE"/>
    <w:rsid w:val="000B0D44"/>
    <w:rsid w:val="000B382F"/>
    <w:rsid w:val="000B55B0"/>
    <w:rsid w:val="000B74C8"/>
    <w:rsid w:val="000C0FC6"/>
    <w:rsid w:val="000C171D"/>
    <w:rsid w:val="000C53B0"/>
    <w:rsid w:val="000C67FB"/>
    <w:rsid w:val="000C760C"/>
    <w:rsid w:val="000E2AA8"/>
    <w:rsid w:val="000E2F83"/>
    <w:rsid w:val="000E38E0"/>
    <w:rsid w:val="000F17FD"/>
    <w:rsid w:val="000F5C5A"/>
    <w:rsid w:val="000F6B78"/>
    <w:rsid w:val="00103C2B"/>
    <w:rsid w:val="00113069"/>
    <w:rsid w:val="001141DA"/>
    <w:rsid w:val="0011446D"/>
    <w:rsid w:val="0012535A"/>
    <w:rsid w:val="001337C2"/>
    <w:rsid w:val="00140059"/>
    <w:rsid w:val="0015046E"/>
    <w:rsid w:val="00153384"/>
    <w:rsid w:val="001535A2"/>
    <w:rsid w:val="00155249"/>
    <w:rsid w:val="0016310C"/>
    <w:rsid w:val="00174055"/>
    <w:rsid w:val="00182913"/>
    <w:rsid w:val="00192130"/>
    <w:rsid w:val="0019264A"/>
    <w:rsid w:val="00197D63"/>
    <w:rsid w:val="001A159E"/>
    <w:rsid w:val="001A2EB8"/>
    <w:rsid w:val="001B76E3"/>
    <w:rsid w:val="001C03EE"/>
    <w:rsid w:val="001D0DAF"/>
    <w:rsid w:val="001D171C"/>
    <w:rsid w:val="001D4D3B"/>
    <w:rsid w:val="001E6B05"/>
    <w:rsid w:val="001F11A0"/>
    <w:rsid w:val="001F598D"/>
    <w:rsid w:val="00202FE7"/>
    <w:rsid w:val="002115A4"/>
    <w:rsid w:val="00216581"/>
    <w:rsid w:val="00217330"/>
    <w:rsid w:val="00220C1B"/>
    <w:rsid w:val="00222995"/>
    <w:rsid w:val="00236E0E"/>
    <w:rsid w:val="00236F66"/>
    <w:rsid w:val="00242487"/>
    <w:rsid w:val="00242E6A"/>
    <w:rsid w:val="002442AC"/>
    <w:rsid w:val="00246444"/>
    <w:rsid w:val="002569A9"/>
    <w:rsid w:val="00271CD0"/>
    <w:rsid w:val="00277F3B"/>
    <w:rsid w:val="00285227"/>
    <w:rsid w:val="002909C8"/>
    <w:rsid w:val="00293C0B"/>
    <w:rsid w:val="00294E7E"/>
    <w:rsid w:val="002973FA"/>
    <w:rsid w:val="002A684C"/>
    <w:rsid w:val="002A709B"/>
    <w:rsid w:val="002A7D2B"/>
    <w:rsid w:val="002B1D16"/>
    <w:rsid w:val="002B30CE"/>
    <w:rsid w:val="002B6E4F"/>
    <w:rsid w:val="002B6FB7"/>
    <w:rsid w:val="002C3008"/>
    <w:rsid w:val="002C55FD"/>
    <w:rsid w:val="002C5F48"/>
    <w:rsid w:val="002D37BF"/>
    <w:rsid w:val="002D3C89"/>
    <w:rsid w:val="002E0FB6"/>
    <w:rsid w:val="002E1600"/>
    <w:rsid w:val="002E1CDF"/>
    <w:rsid w:val="002E6A12"/>
    <w:rsid w:val="003061ED"/>
    <w:rsid w:val="00306398"/>
    <w:rsid w:val="00306E06"/>
    <w:rsid w:val="00313807"/>
    <w:rsid w:val="00317DA3"/>
    <w:rsid w:val="003328EA"/>
    <w:rsid w:val="00333039"/>
    <w:rsid w:val="00333611"/>
    <w:rsid w:val="003421BA"/>
    <w:rsid w:val="00354A2D"/>
    <w:rsid w:val="00356F08"/>
    <w:rsid w:val="00364443"/>
    <w:rsid w:val="00365EF1"/>
    <w:rsid w:val="003716AA"/>
    <w:rsid w:val="003731EE"/>
    <w:rsid w:val="0037393C"/>
    <w:rsid w:val="00374B5E"/>
    <w:rsid w:val="0037724E"/>
    <w:rsid w:val="003A1318"/>
    <w:rsid w:val="003A28D0"/>
    <w:rsid w:val="003A78DA"/>
    <w:rsid w:val="003B4CF9"/>
    <w:rsid w:val="003C287E"/>
    <w:rsid w:val="003C59D3"/>
    <w:rsid w:val="003C7048"/>
    <w:rsid w:val="003D1E21"/>
    <w:rsid w:val="003D6216"/>
    <w:rsid w:val="003D7701"/>
    <w:rsid w:val="003E4FA9"/>
    <w:rsid w:val="003F3C71"/>
    <w:rsid w:val="00402797"/>
    <w:rsid w:val="00403644"/>
    <w:rsid w:val="00406D96"/>
    <w:rsid w:val="004108B5"/>
    <w:rsid w:val="004127AB"/>
    <w:rsid w:val="00416DEF"/>
    <w:rsid w:val="004252A3"/>
    <w:rsid w:val="00425B23"/>
    <w:rsid w:val="004433B5"/>
    <w:rsid w:val="00446572"/>
    <w:rsid w:val="00447A93"/>
    <w:rsid w:val="004504D6"/>
    <w:rsid w:val="00456CE2"/>
    <w:rsid w:val="00457470"/>
    <w:rsid w:val="004602A3"/>
    <w:rsid w:val="00464972"/>
    <w:rsid w:val="00465658"/>
    <w:rsid w:val="004658CA"/>
    <w:rsid w:val="0046606B"/>
    <w:rsid w:val="004668E2"/>
    <w:rsid w:val="00470EE4"/>
    <w:rsid w:val="00476293"/>
    <w:rsid w:val="00476685"/>
    <w:rsid w:val="00477307"/>
    <w:rsid w:val="00481214"/>
    <w:rsid w:val="00481C8E"/>
    <w:rsid w:val="00486CE8"/>
    <w:rsid w:val="004A0366"/>
    <w:rsid w:val="004A7312"/>
    <w:rsid w:val="004B3006"/>
    <w:rsid w:val="004B6BDF"/>
    <w:rsid w:val="004C28FA"/>
    <w:rsid w:val="004C5601"/>
    <w:rsid w:val="004C58F3"/>
    <w:rsid w:val="004E5134"/>
    <w:rsid w:val="004E68B8"/>
    <w:rsid w:val="005204DF"/>
    <w:rsid w:val="00522641"/>
    <w:rsid w:val="00523199"/>
    <w:rsid w:val="00526266"/>
    <w:rsid w:val="00526DCD"/>
    <w:rsid w:val="00530F76"/>
    <w:rsid w:val="0053285B"/>
    <w:rsid w:val="0053732B"/>
    <w:rsid w:val="0054065E"/>
    <w:rsid w:val="0054532A"/>
    <w:rsid w:val="005466C3"/>
    <w:rsid w:val="0056057B"/>
    <w:rsid w:val="00560B36"/>
    <w:rsid w:val="00566396"/>
    <w:rsid w:val="00572EA7"/>
    <w:rsid w:val="005947B2"/>
    <w:rsid w:val="00596C19"/>
    <w:rsid w:val="005A20C2"/>
    <w:rsid w:val="005A338D"/>
    <w:rsid w:val="005B0A3A"/>
    <w:rsid w:val="005B4643"/>
    <w:rsid w:val="005B5FD6"/>
    <w:rsid w:val="005C49FB"/>
    <w:rsid w:val="005D5F29"/>
    <w:rsid w:val="005E4868"/>
    <w:rsid w:val="005E67A5"/>
    <w:rsid w:val="005E6FEA"/>
    <w:rsid w:val="005F669C"/>
    <w:rsid w:val="00602184"/>
    <w:rsid w:val="0060266E"/>
    <w:rsid w:val="00603BCB"/>
    <w:rsid w:val="0060505E"/>
    <w:rsid w:val="006051E4"/>
    <w:rsid w:val="00613222"/>
    <w:rsid w:val="00615213"/>
    <w:rsid w:val="00623F24"/>
    <w:rsid w:val="00626250"/>
    <w:rsid w:val="006308AA"/>
    <w:rsid w:val="00634702"/>
    <w:rsid w:val="0063572F"/>
    <w:rsid w:val="00636F4B"/>
    <w:rsid w:val="00650D52"/>
    <w:rsid w:val="00651BFC"/>
    <w:rsid w:val="00654D3A"/>
    <w:rsid w:val="00655735"/>
    <w:rsid w:val="0066677F"/>
    <w:rsid w:val="00671CF3"/>
    <w:rsid w:val="006778FD"/>
    <w:rsid w:val="00680A17"/>
    <w:rsid w:val="00681AE1"/>
    <w:rsid w:val="00683917"/>
    <w:rsid w:val="006845BC"/>
    <w:rsid w:val="00685875"/>
    <w:rsid w:val="00687156"/>
    <w:rsid w:val="00691227"/>
    <w:rsid w:val="00692E2C"/>
    <w:rsid w:val="006966D4"/>
    <w:rsid w:val="006979F9"/>
    <w:rsid w:val="006A2502"/>
    <w:rsid w:val="006A504C"/>
    <w:rsid w:val="006B2844"/>
    <w:rsid w:val="006B3171"/>
    <w:rsid w:val="006C285D"/>
    <w:rsid w:val="006C563A"/>
    <w:rsid w:val="006C7684"/>
    <w:rsid w:val="006D3772"/>
    <w:rsid w:val="006D40A4"/>
    <w:rsid w:val="006D46B0"/>
    <w:rsid w:val="006D5693"/>
    <w:rsid w:val="006D62EC"/>
    <w:rsid w:val="006D75AF"/>
    <w:rsid w:val="006E18C9"/>
    <w:rsid w:val="006E77BB"/>
    <w:rsid w:val="006F004F"/>
    <w:rsid w:val="006F65FC"/>
    <w:rsid w:val="00701C96"/>
    <w:rsid w:val="00716A63"/>
    <w:rsid w:val="00717053"/>
    <w:rsid w:val="00720732"/>
    <w:rsid w:val="00725275"/>
    <w:rsid w:val="00730780"/>
    <w:rsid w:val="00730F86"/>
    <w:rsid w:val="0073516F"/>
    <w:rsid w:val="007402DE"/>
    <w:rsid w:val="0074091B"/>
    <w:rsid w:val="0074305D"/>
    <w:rsid w:val="00744ADC"/>
    <w:rsid w:val="0075169C"/>
    <w:rsid w:val="007671BB"/>
    <w:rsid w:val="00790AA5"/>
    <w:rsid w:val="00791053"/>
    <w:rsid w:val="007939BB"/>
    <w:rsid w:val="0079717A"/>
    <w:rsid w:val="007A0976"/>
    <w:rsid w:val="007A21CB"/>
    <w:rsid w:val="007B77E6"/>
    <w:rsid w:val="007C644A"/>
    <w:rsid w:val="007D2429"/>
    <w:rsid w:val="007D2EF6"/>
    <w:rsid w:val="007D569A"/>
    <w:rsid w:val="007D70F8"/>
    <w:rsid w:val="007F1F38"/>
    <w:rsid w:val="007F3637"/>
    <w:rsid w:val="00801E2C"/>
    <w:rsid w:val="008078DE"/>
    <w:rsid w:val="00810C4D"/>
    <w:rsid w:val="0081140F"/>
    <w:rsid w:val="008238EC"/>
    <w:rsid w:val="00830E37"/>
    <w:rsid w:val="00832070"/>
    <w:rsid w:val="008340AB"/>
    <w:rsid w:val="008450FB"/>
    <w:rsid w:val="00852F70"/>
    <w:rsid w:val="00854A3C"/>
    <w:rsid w:val="00870348"/>
    <w:rsid w:val="00873F5A"/>
    <w:rsid w:val="008745C0"/>
    <w:rsid w:val="00876876"/>
    <w:rsid w:val="00883933"/>
    <w:rsid w:val="00883F2E"/>
    <w:rsid w:val="0088710E"/>
    <w:rsid w:val="00891444"/>
    <w:rsid w:val="00893D61"/>
    <w:rsid w:val="00896934"/>
    <w:rsid w:val="00897F4C"/>
    <w:rsid w:val="008A091F"/>
    <w:rsid w:val="008A367F"/>
    <w:rsid w:val="008B14CF"/>
    <w:rsid w:val="008B6568"/>
    <w:rsid w:val="008B6576"/>
    <w:rsid w:val="008C3BF2"/>
    <w:rsid w:val="008C4D39"/>
    <w:rsid w:val="008D7CDD"/>
    <w:rsid w:val="008E059E"/>
    <w:rsid w:val="008E1B6E"/>
    <w:rsid w:val="008E424A"/>
    <w:rsid w:val="008E4597"/>
    <w:rsid w:val="008E5279"/>
    <w:rsid w:val="008E5903"/>
    <w:rsid w:val="008F18AB"/>
    <w:rsid w:val="008F7AC8"/>
    <w:rsid w:val="00903088"/>
    <w:rsid w:val="009346D1"/>
    <w:rsid w:val="00936929"/>
    <w:rsid w:val="009378BD"/>
    <w:rsid w:val="009407A6"/>
    <w:rsid w:val="009447E7"/>
    <w:rsid w:val="00946360"/>
    <w:rsid w:val="00947CFF"/>
    <w:rsid w:val="00955ADD"/>
    <w:rsid w:val="00956C7E"/>
    <w:rsid w:val="0097271D"/>
    <w:rsid w:val="00975442"/>
    <w:rsid w:val="009768E1"/>
    <w:rsid w:val="009851A1"/>
    <w:rsid w:val="00986F76"/>
    <w:rsid w:val="00990350"/>
    <w:rsid w:val="009A0C97"/>
    <w:rsid w:val="009A2CFE"/>
    <w:rsid w:val="009A3A22"/>
    <w:rsid w:val="009B05CC"/>
    <w:rsid w:val="009B0B6B"/>
    <w:rsid w:val="009B755F"/>
    <w:rsid w:val="009C7973"/>
    <w:rsid w:val="009D64B7"/>
    <w:rsid w:val="009E2DE1"/>
    <w:rsid w:val="009E5309"/>
    <w:rsid w:val="009F27D8"/>
    <w:rsid w:val="009F7672"/>
    <w:rsid w:val="00A00B4B"/>
    <w:rsid w:val="00A028B1"/>
    <w:rsid w:val="00A05B10"/>
    <w:rsid w:val="00A11D50"/>
    <w:rsid w:val="00A12500"/>
    <w:rsid w:val="00A130F3"/>
    <w:rsid w:val="00A20409"/>
    <w:rsid w:val="00A21627"/>
    <w:rsid w:val="00A23807"/>
    <w:rsid w:val="00A32D48"/>
    <w:rsid w:val="00A36298"/>
    <w:rsid w:val="00A45032"/>
    <w:rsid w:val="00A527F3"/>
    <w:rsid w:val="00A571FE"/>
    <w:rsid w:val="00A611A9"/>
    <w:rsid w:val="00A67412"/>
    <w:rsid w:val="00A74FB5"/>
    <w:rsid w:val="00A75817"/>
    <w:rsid w:val="00A80C4E"/>
    <w:rsid w:val="00A90581"/>
    <w:rsid w:val="00A975A8"/>
    <w:rsid w:val="00AC319A"/>
    <w:rsid w:val="00AC3DBF"/>
    <w:rsid w:val="00AE024B"/>
    <w:rsid w:val="00AE4088"/>
    <w:rsid w:val="00AE4963"/>
    <w:rsid w:val="00AE6314"/>
    <w:rsid w:val="00B00761"/>
    <w:rsid w:val="00B03C05"/>
    <w:rsid w:val="00B11D08"/>
    <w:rsid w:val="00B1564D"/>
    <w:rsid w:val="00B159DA"/>
    <w:rsid w:val="00B2153D"/>
    <w:rsid w:val="00B26717"/>
    <w:rsid w:val="00B3066F"/>
    <w:rsid w:val="00B30E29"/>
    <w:rsid w:val="00B32C4C"/>
    <w:rsid w:val="00B44460"/>
    <w:rsid w:val="00B444D6"/>
    <w:rsid w:val="00B47C42"/>
    <w:rsid w:val="00B548C9"/>
    <w:rsid w:val="00B60E2F"/>
    <w:rsid w:val="00B63BE5"/>
    <w:rsid w:val="00B65759"/>
    <w:rsid w:val="00B67B67"/>
    <w:rsid w:val="00B7764E"/>
    <w:rsid w:val="00B85B55"/>
    <w:rsid w:val="00B936EB"/>
    <w:rsid w:val="00B9670F"/>
    <w:rsid w:val="00B97AD7"/>
    <w:rsid w:val="00BB7005"/>
    <w:rsid w:val="00BC6500"/>
    <w:rsid w:val="00BC6AD0"/>
    <w:rsid w:val="00BD2523"/>
    <w:rsid w:val="00BD613A"/>
    <w:rsid w:val="00BE3A7B"/>
    <w:rsid w:val="00BE4CB6"/>
    <w:rsid w:val="00BF5578"/>
    <w:rsid w:val="00BF56D4"/>
    <w:rsid w:val="00BF616D"/>
    <w:rsid w:val="00BF6910"/>
    <w:rsid w:val="00C02588"/>
    <w:rsid w:val="00C0759E"/>
    <w:rsid w:val="00C12851"/>
    <w:rsid w:val="00C13185"/>
    <w:rsid w:val="00C17DDA"/>
    <w:rsid w:val="00C20686"/>
    <w:rsid w:val="00C206E6"/>
    <w:rsid w:val="00C245CA"/>
    <w:rsid w:val="00C27BBE"/>
    <w:rsid w:val="00C31BB7"/>
    <w:rsid w:val="00C343E0"/>
    <w:rsid w:val="00C36C39"/>
    <w:rsid w:val="00C44781"/>
    <w:rsid w:val="00C506E7"/>
    <w:rsid w:val="00C510CC"/>
    <w:rsid w:val="00C52DA0"/>
    <w:rsid w:val="00C538EF"/>
    <w:rsid w:val="00C5504F"/>
    <w:rsid w:val="00C55E02"/>
    <w:rsid w:val="00C602D8"/>
    <w:rsid w:val="00C635EC"/>
    <w:rsid w:val="00C74028"/>
    <w:rsid w:val="00C75099"/>
    <w:rsid w:val="00C75238"/>
    <w:rsid w:val="00C773A9"/>
    <w:rsid w:val="00C81779"/>
    <w:rsid w:val="00C9231A"/>
    <w:rsid w:val="00C92559"/>
    <w:rsid w:val="00C92EE8"/>
    <w:rsid w:val="00C95FA1"/>
    <w:rsid w:val="00C97983"/>
    <w:rsid w:val="00CA005C"/>
    <w:rsid w:val="00CA0244"/>
    <w:rsid w:val="00CA7F56"/>
    <w:rsid w:val="00CB3504"/>
    <w:rsid w:val="00CB56C6"/>
    <w:rsid w:val="00CC20DD"/>
    <w:rsid w:val="00CC6DA8"/>
    <w:rsid w:val="00CC6DCF"/>
    <w:rsid w:val="00CD219B"/>
    <w:rsid w:val="00CD257D"/>
    <w:rsid w:val="00CE1CDF"/>
    <w:rsid w:val="00CE4FF3"/>
    <w:rsid w:val="00CF0779"/>
    <w:rsid w:val="00CF6193"/>
    <w:rsid w:val="00D06436"/>
    <w:rsid w:val="00D10AC5"/>
    <w:rsid w:val="00D21C2A"/>
    <w:rsid w:val="00D33417"/>
    <w:rsid w:val="00D360B8"/>
    <w:rsid w:val="00D400E4"/>
    <w:rsid w:val="00D42BA7"/>
    <w:rsid w:val="00D4495A"/>
    <w:rsid w:val="00D458CC"/>
    <w:rsid w:val="00D500F4"/>
    <w:rsid w:val="00D60DF3"/>
    <w:rsid w:val="00D65E56"/>
    <w:rsid w:val="00D71718"/>
    <w:rsid w:val="00D73BC8"/>
    <w:rsid w:val="00D7657E"/>
    <w:rsid w:val="00D77380"/>
    <w:rsid w:val="00D8389B"/>
    <w:rsid w:val="00D87838"/>
    <w:rsid w:val="00D90360"/>
    <w:rsid w:val="00D92759"/>
    <w:rsid w:val="00DA39A5"/>
    <w:rsid w:val="00DA7E65"/>
    <w:rsid w:val="00DB6D1F"/>
    <w:rsid w:val="00DC1B92"/>
    <w:rsid w:val="00DC2C5D"/>
    <w:rsid w:val="00DC59F1"/>
    <w:rsid w:val="00DC7308"/>
    <w:rsid w:val="00DC74FA"/>
    <w:rsid w:val="00DD1D8E"/>
    <w:rsid w:val="00DE2130"/>
    <w:rsid w:val="00DE3DE9"/>
    <w:rsid w:val="00DE5E1C"/>
    <w:rsid w:val="00DE7918"/>
    <w:rsid w:val="00DF207A"/>
    <w:rsid w:val="00DF48AA"/>
    <w:rsid w:val="00DF58EF"/>
    <w:rsid w:val="00E00194"/>
    <w:rsid w:val="00E0559D"/>
    <w:rsid w:val="00E1131B"/>
    <w:rsid w:val="00E1589E"/>
    <w:rsid w:val="00E2584E"/>
    <w:rsid w:val="00E25BF8"/>
    <w:rsid w:val="00E3045E"/>
    <w:rsid w:val="00E33EDB"/>
    <w:rsid w:val="00E37AAA"/>
    <w:rsid w:val="00E40FF7"/>
    <w:rsid w:val="00E422B6"/>
    <w:rsid w:val="00E551C6"/>
    <w:rsid w:val="00E701DF"/>
    <w:rsid w:val="00E74568"/>
    <w:rsid w:val="00E82443"/>
    <w:rsid w:val="00E851E9"/>
    <w:rsid w:val="00E86388"/>
    <w:rsid w:val="00E93BAC"/>
    <w:rsid w:val="00E952E9"/>
    <w:rsid w:val="00EB61F8"/>
    <w:rsid w:val="00EC0B94"/>
    <w:rsid w:val="00EC1BEE"/>
    <w:rsid w:val="00EC5741"/>
    <w:rsid w:val="00ED0315"/>
    <w:rsid w:val="00ED09A4"/>
    <w:rsid w:val="00EE52AA"/>
    <w:rsid w:val="00EE6CA5"/>
    <w:rsid w:val="00EF33A0"/>
    <w:rsid w:val="00EF5C57"/>
    <w:rsid w:val="00F06988"/>
    <w:rsid w:val="00F10D1B"/>
    <w:rsid w:val="00F1119D"/>
    <w:rsid w:val="00F271B8"/>
    <w:rsid w:val="00F27E11"/>
    <w:rsid w:val="00F314B3"/>
    <w:rsid w:val="00F357AC"/>
    <w:rsid w:val="00F4575A"/>
    <w:rsid w:val="00F56FE7"/>
    <w:rsid w:val="00F62CB7"/>
    <w:rsid w:val="00F67C7B"/>
    <w:rsid w:val="00F775FE"/>
    <w:rsid w:val="00F83A53"/>
    <w:rsid w:val="00F87213"/>
    <w:rsid w:val="00F93935"/>
    <w:rsid w:val="00F94DD5"/>
    <w:rsid w:val="00F97035"/>
    <w:rsid w:val="00FA2F14"/>
    <w:rsid w:val="00FA3203"/>
    <w:rsid w:val="00FA3D49"/>
    <w:rsid w:val="00FA5AFD"/>
    <w:rsid w:val="00FB28D7"/>
    <w:rsid w:val="00FB2AAE"/>
    <w:rsid w:val="00FB345B"/>
    <w:rsid w:val="00FC006C"/>
    <w:rsid w:val="00FD2606"/>
    <w:rsid w:val="00FE7E82"/>
    <w:rsid w:val="00FF4848"/>
    <w:rsid w:val="00FF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1"/>
    <o:shapelayout v:ext="edit">
      <o:idmap v:ext="edit" data="1"/>
    </o:shapelayout>
  </w:shapeDefaults>
  <w:decimalSymbol w:val=","/>
  <w:listSeparator w:val=";"/>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99"/>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729695687">
      <w:bodyDiv w:val="1"/>
      <w:marLeft w:val="0"/>
      <w:marRight w:val="0"/>
      <w:marTop w:val="0"/>
      <w:marBottom w:val="0"/>
      <w:divBdr>
        <w:top w:val="none" w:sz="0" w:space="0" w:color="auto"/>
        <w:left w:val="none" w:sz="0" w:space="0" w:color="auto"/>
        <w:bottom w:val="none" w:sz="0" w:space="0" w:color="auto"/>
        <w:right w:val="none" w:sz="0" w:space="0" w:color="auto"/>
      </w:divBdr>
    </w:div>
    <w:div w:id="843738366">
      <w:bodyDiv w:val="1"/>
      <w:marLeft w:val="0"/>
      <w:marRight w:val="0"/>
      <w:marTop w:val="0"/>
      <w:marBottom w:val="0"/>
      <w:divBdr>
        <w:top w:val="none" w:sz="0" w:space="0" w:color="auto"/>
        <w:left w:val="none" w:sz="0" w:space="0" w:color="auto"/>
        <w:bottom w:val="none" w:sz="0" w:space="0" w:color="auto"/>
        <w:right w:val="none" w:sz="0" w:space="0" w:color="auto"/>
      </w:divBdr>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zburg.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salzburg.info" TargetMode="External"/><Relationship Id="rId4" Type="http://schemas.openxmlformats.org/officeDocument/2006/relationships/settings" Target="settings.xml"/><Relationship Id="rId9" Type="http://schemas.openxmlformats.org/officeDocument/2006/relationships/hyperlink" Target="http://www.salzburg.inf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57E4-B6D9-4CEE-AA80-CAB62BD3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10010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Trummer Martina C.</cp:lastModifiedBy>
  <cp:revision>32</cp:revision>
  <cp:lastPrinted>2019-02-18T08:19:00Z</cp:lastPrinted>
  <dcterms:created xsi:type="dcterms:W3CDTF">2018-12-11T12:25:00Z</dcterms:created>
  <dcterms:modified xsi:type="dcterms:W3CDTF">2019-06-13T11:20:00Z</dcterms:modified>
</cp:coreProperties>
</file>