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FD" w:rsidRPr="001C6E9D" w:rsidRDefault="00480F72" w:rsidP="003A1318">
      <w:pPr>
        <w:pStyle w:val="berschrift1"/>
        <w:ind w:right="794"/>
        <w:jc w:val="both"/>
        <w:rPr>
          <w:sz w:val="36"/>
          <w:szCs w:val="36"/>
          <w:lang w:val="en-US"/>
        </w:rPr>
      </w:pPr>
      <w:r w:rsidRPr="001C6E9D">
        <w:rPr>
          <w:sz w:val="36"/>
          <w:szCs w:val="36"/>
          <w:lang w:val="en-US"/>
        </w:rPr>
        <w:t xml:space="preserve">Tourism in Salzburg City – Facts &amp; Figures 2017 </w:t>
      </w:r>
    </w:p>
    <w:p w:rsidR="001C6E9D" w:rsidRPr="001C6E9D" w:rsidRDefault="001C6E9D" w:rsidP="001C6E9D">
      <w:pPr>
        <w:rPr>
          <w:lang w:val="en-US"/>
        </w:rPr>
      </w:pPr>
    </w:p>
    <w:p w:rsidR="000719FD" w:rsidRPr="00480F72" w:rsidRDefault="00C510CC" w:rsidP="003A1318">
      <w:pPr>
        <w:jc w:val="both"/>
        <w:outlineLvl w:val="0"/>
        <w:rPr>
          <w:b/>
          <w:lang w:val="en-US"/>
        </w:rPr>
      </w:pPr>
      <w:r w:rsidRPr="00480F72">
        <w:rPr>
          <w:b/>
          <w:lang w:val="en-US"/>
        </w:rPr>
        <w:t>Salzburg Information</w:t>
      </w:r>
    </w:p>
    <w:p w:rsidR="000719FD" w:rsidRDefault="00480F72" w:rsidP="003A1318">
      <w:pPr>
        <w:jc w:val="both"/>
        <w:outlineLvl w:val="0"/>
        <w:rPr>
          <w:lang w:val="en-US"/>
        </w:rPr>
      </w:pPr>
      <w:r>
        <w:rPr>
          <w:lang w:val="en-US"/>
        </w:rPr>
        <w:t>“Salzburg Information” is the city’s tourism office</w:t>
      </w:r>
      <w:r w:rsidR="00681F61">
        <w:rPr>
          <w:lang w:val="en-US"/>
        </w:rPr>
        <w:t>,</w:t>
      </w:r>
      <w:r>
        <w:rPr>
          <w:lang w:val="en-US"/>
        </w:rPr>
        <w:t xml:space="preserve"> responsible for worldwide tourist marketing (advertising, sales promotion, information and production, press and publicity </w:t>
      </w:r>
      <w:r w:rsidR="002605F7">
        <w:rPr>
          <w:lang w:val="en-US"/>
        </w:rPr>
        <w:t>work)</w:t>
      </w:r>
      <w:r>
        <w:rPr>
          <w:lang w:val="en-US"/>
        </w:rPr>
        <w:t>, providing interested guests with support and information at two info bureaus within the city. Naturally, extensive service</w:t>
      </w:r>
      <w:r w:rsidR="00681F61">
        <w:rPr>
          <w:lang w:val="en-US"/>
        </w:rPr>
        <w:t>s</w:t>
      </w:r>
      <w:r>
        <w:rPr>
          <w:lang w:val="en-US"/>
        </w:rPr>
        <w:t xml:space="preserve"> </w:t>
      </w:r>
      <w:r w:rsidR="00681F61">
        <w:rPr>
          <w:lang w:val="en-US"/>
        </w:rPr>
        <w:t>are</w:t>
      </w:r>
      <w:r>
        <w:rPr>
          <w:lang w:val="en-US"/>
        </w:rPr>
        <w:t xml:space="preserve"> also offered online at </w:t>
      </w:r>
      <w:hyperlink r:id="rId8" w:history="1">
        <w:r w:rsidR="000719FD" w:rsidRPr="00480F72">
          <w:rPr>
            <w:rStyle w:val="Hyperlink"/>
            <w:color w:val="auto"/>
            <w:lang w:val="en-US"/>
          </w:rPr>
          <w:t>www.salzburg.info</w:t>
        </w:r>
      </w:hyperlink>
      <w:r w:rsidR="000719FD" w:rsidRPr="00480F72">
        <w:rPr>
          <w:lang w:val="en-US"/>
        </w:rPr>
        <w:t xml:space="preserve">: </w:t>
      </w:r>
      <w:r>
        <w:rPr>
          <w:lang w:val="en-US"/>
        </w:rPr>
        <w:t xml:space="preserve">hotel reservations, information about cultural events, links to all important service providers, RSS feeds, the social Web, weather forecasts, </w:t>
      </w:r>
      <w:r w:rsidR="00681F61">
        <w:rPr>
          <w:lang w:val="en-US"/>
        </w:rPr>
        <w:t>webcams</w:t>
      </w:r>
      <w:r>
        <w:rPr>
          <w:lang w:val="en-US"/>
        </w:rPr>
        <w:t xml:space="preserve">, photos, videos etc. </w:t>
      </w:r>
    </w:p>
    <w:p w:rsidR="001C6E9D" w:rsidRPr="00480F72" w:rsidRDefault="001C6E9D" w:rsidP="003A1318">
      <w:pPr>
        <w:jc w:val="both"/>
        <w:outlineLvl w:val="0"/>
        <w:rPr>
          <w:b/>
          <w:lang w:val="en-US"/>
        </w:rPr>
      </w:pPr>
    </w:p>
    <w:p w:rsidR="000719FD" w:rsidRDefault="00480F72" w:rsidP="003A1318">
      <w:pPr>
        <w:jc w:val="both"/>
        <w:rPr>
          <w:lang w:val="en-US"/>
        </w:rPr>
      </w:pPr>
      <w:r>
        <w:rPr>
          <w:lang w:val="en-US"/>
        </w:rPr>
        <w:t xml:space="preserve">Salzburg is the capital city of the Austrian province of the same name and has </w:t>
      </w:r>
      <w:r w:rsidR="00E551C6" w:rsidRPr="00480F72">
        <w:rPr>
          <w:lang w:val="en-US"/>
        </w:rPr>
        <w:t>154</w:t>
      </w:r>
      <w:r>
        <w:rPr>
          <w:lang w:val="en-US"/>
        </w:rPr>
        <w:t>,</w:t>
      </w:r>
      <w:r w:rsidR="00E551C6" w:rsidRPr="00480F72">
        <w:rPr>
          <w:lang w:val="en-US"/>
        </w:rPr>
        <w:t>820</w:t>
      </w:r>
      <w:r w:rsidR="000719FD" w:rsidRPr="00480F72">
        <w:rPr>
          <w:lang w:val="en-US"/>
        </w:rPr>
        <w:t xml:space="preserve"> </w:t>
      </w:r>
      <w:r>
        <w:rPr>
          <w:lang w:val="en-US"/>
        </w:rPr>
        <w:t xml:space="preserve">permanent residents </w:t>
      </w:r>
      <w:r w:rsidR="005204DF" w:rsidRPr="00480F72">
        <w:rPr>
          <w:lang w:val="en-US"/>
        </w:rPr>
        <w:t>(</w:t>
      </w:r>
      <w:r>
        <w:rPr>
          <w:lang w:val="en-US"/>
        </w:rPr>
        <w:t>status</w:t>
      </w:r>
      <w:r w:rsidR="005204DF" w:rsidRPr="00480F72">
        <w:rPr>
          <w:lang w:val="en-US"/>
        </w:rPr>
        <w:t>: 1.1.2018)</w:t>
      </w:r>
      <w:r w:rsidR="000719FD" w:rsidRPr="00480F72">
        <w:rPr>
          <w:lang w:val="en-US"/>
        </w:rPr>
        <w:t xml:space="preserve">. </w:t>
      </w:r>
      <w:r>
        <w:rPr>
          <w:lang w:val="en-US"/>
        </w:rPr>
        <w:t>The city hosts approximately 4</w:t>
      </w:r>
      <w:r w:rsidR="00290BE5">
        <w:rPr>
          <w:lang w:val="en-US"/>
        </w:rPr>
        <w:t>,</w:t>
      </w:r>
      <w:r>
        <w:rPr>
          <w:lang w:val="en-US"/>
        </w:rPr>
        <w:t>500 cultural events annually, with performance highlights including numerous festivals, such as Mozart Week, the Easter Festival, the Whits</w:t>
      </w:r>
      <w:r w:rsidR="00681F61">
        <w:rPr>
          <w:lang w:val="en-US"/>
        </w:rPr>
        <w:t>u</w:t>
      </w:r>
      <w:r>
        <w:rPr>
          <w:lang w:val="en-US"/>
        </w:rPr>
        <w:t xml:space="preserve">n Festival, the Summer Festival, </w:t>
      </w:r>
      <w:r w:rsidR="000719FD" w:rsidRPr="00480F72">
        <w:rPr>
          <w:lang w:val="en-US"/>
        </w:rPr>
        <w:t>Sommerszene</w:t>
      </w:r>
      <w:r>
        <w:rPr>
          <w:lang w:val="en-US"/>
        </w:rPr>
        <w:t xml:space="preserve">, Culture Days in autumn, as well as various </w:t>
      </w:r>
      <w:r w:rsidR="00681F61">
        <w:rPr>
          <w:lang w:val="en-US"/>
        </w:rPr>
        <w:t>choral</w:t>
      </w:r>
      <w:r>
        <w:rPr>
          <w:lang w:val="en-US"/>
        </w:rPr>
        <w:t xml:space="preserve"> events during Advent. Every year, the city welcomes approximately 8.2 million daytime and overnight visitors</w:t>
      </w:r>
      <w:r w:rsidR="000719FD" w:rsidRPr="00480F72">
        <w:rPr>
          <w:lang w:val="en-US"/>
        </w:rPr>
        <w:t xml:space="preserve">. </w:t>
      </w:r>
      <w:r>
        <w:rPr>
          <w:lang w:val="en-US"/>
        </w:rPr>
        <w:t>Second only to the Austrian capital, Vienna, Salzburg is one of the most important city tourism destinations in Austria. The city where W</w:t>
      </w:r>
      <w:r w:rsidR="00681F61">
        <w:rPr>
          <w:lang w:val="en-US"/>
        </w:rPr>
        <w:t xml:space="preserve">. </w:t>
      </w:r>
      <w:r>
        <w:rPr>
          <w:lang w:val="en-US"/>
        </w:rPr>
        <w:t>A</w:t>
      </w:r>
      <w:r w:rsidR="00681F61">
        <w:rPr>
          <w:lang w:val="en-US"/>
        </w:rPr>
        <w:t>.</w:t>
      </w:r>
      <w:r>
        <w:rPr>
          <w:lang w:val="en-US"/>
        </w:rPr>
        <w:t xml:space="preserve"> Mozart was born has also been a proud member of the UNESCO World Heritage List since 1997</w:t>
      </w:r>
      <w:r w:rsidR="000719FD" w:rsidRPr="00480F72">
        <w:rPr>
          <w:lang w:val="en-US"/>
        </w:rPr>
        <w:t>.</w:t>
      </w:r>
    </w:p>
    <w:p w:rsidR="001C6E9D" w:rsidRPr="00480F72" w:rsidRDefault="001C6E9D" w:rsidP="003A1318">
      <w:pPr>
        <w:jc w:val="both"/>
        <w:rPr>
          <w:lang w:val="en-US"/>
        </w:rPr>
      </w:pPr>
    </w:p>
    <w:p w:rsidR="000719FD" w:rsidRDefault="00480F72" w:rsidP="003A1318">
      <w:pPr>
        <w:jc w:val="both"/>
        <w:rPr>
          <w:lang w:val="en-US"/>
        </w:rPr>
      </w:pPr>
      <w:r>
        <w:rPr>
          <w:lang w:val="en-US"/>
        </w:rPr>
        <w:t xml:space="preserve">Salzburg’s unique selling points include Mozart, </w:t>
      </w:r>
      <w:r w:rsidR="00EE6C29">
        <w:rPr>
          <w:lang w:val="en-US"/>
        </w:rPr>
        <w:t>“The Sound of Music”, the UNESCO-listed baroque historical district, the Festival</w:t>
      </w:r>
      <w:r w:rsidR="00290BE5">
        <w:rPr>
          <w:lang w:val="en-US"/>
        </w:rPr>
        <w:t>s</w:t>
      </w:r>
      <w:r w:rsidR="00EE6C29">
        <w:rPr>
          <w:lang w:val="en-US"/>
        </w:rPr>
        <w:t xml:space="preserve"> as well as Advent season, including “Silent Night”. One look at global reporting </w:t>
      </w:r>
      <w:r w:rsidR="00681F61">
        <w:rPr>
          <w:lang w:val="en-US"/>
        </w:rPr>
        <w:t>on</w:t>
      </w:r>
      <w:r w:rsidR="00EE6C29">
        <w:rPr>
          <w:lang w:val="en-US"/>
        </w:rPr>
        <w:t xml:space="preserve"> Salzburg as a Christmas destination clearly shows the </w:t>
      </w:r>
      <w:r w:rsidR="00681F61">
        <w:rPr>
          <w:lang w:val="en-US"/>
        </w:rPr>
        <w:t>appeal</w:t>
      </w:r>
      <w:r w:rsidR="00EE6C29">
        <w:rPr>
          <w:lang w:val="en-US"/>
        </w:rPr>
        <w:t xml:space="preserve"> the city has for visitors</w:t>
      </w:r>
      <w:r w:rsidR="009F27D8" w:rsidRPr="00480F72">
        <w:rPr>
          <w:lang w:val="en-US"/>
        </w:rPr>
        <w:t xml:space="preserve">: </w:t>
      </w:r>
      <w:r w:rsidR="00EE6C29">
        <w:rPr>
          <w:lang w:val="en-US"/>
        </w:rPr>
        <w:t xml:space="preserve">in 2017, the </w:t>
      </w:r>
      <w:r w:rsidR="00681F61">
        <w:rPr>
          <w:lang w:val="en-US"/>
        </w:rPr>
        <w:t>Christkindlmarkt</w:t>
      </w:r>
      <w:r w:rsidR="00EE6C29">
        <w:rPr>
          <w:lang w:val="en-US"/>
        </w:rPr>
        <w:t>, which takes place on the squares outside of the cathedral and the Residenz, was listed by Britain’s Independent, the</w:t>
      </w:r>
      <w:r w:rsidR="009F27D8" w:rsidRPr="00480F72">
        <w:rPr>
          <w:lang w:val="en-US"/>
        </w:rPr>
        <w:t xml:space="preserve"> Evening Standard </w:t>
      </w:r>
      <w:r w:rsidR="00EE6C29">
        <w:rPr>
          <w:lang w:val="en-US"/>
        </w:rPr>
        <w:t>and the</w:t>
      </w:r>
      <w:r w:rsidR="009F27D8" w:rsidRPr="00480F72">
        <w:rPr>
          <w:lang w:val="en-US"/>
        </w:rPr>
        <w:t xml:space="preserve"> Sunday Mirror </w:t>
      </w:r>
      <w:r w:rsidR="00EE6C29">
        <w:rPr>
          <w:lang w:val="en-US"/>
        </w:rPr>
        <w:t>as one of the top</w:t>
      </w:r>
      <w:r w:rsidR="00681F61">
        <w:rPr>
          <w:lang w:val="en-US"/>
        </w:rPr>
        <w:t>-</w:t>
      </w:r>
      <w:r w:rsidR="00EE6C29">
        <w:rPr>
          <w:lang w:val="en-US"/>
        </w:rPr>
        <w:t xml:space="preserve">10 </w:t>
      </w:r>
      <w:r w:rsidR="00681F61">
        <w:rPr>
          <w:lang w:val="en-US"/>
        </w:rPr>
        <w:t>of its kind</w:t>
      </w:r>
      <w:r w:rsidR="00EE6C29">
        <w:rPr>
          <w:lang w:val="en-US"/>
        </w:rPr>
        <w:t xml:space="preserve"> in Europe. </w:t>
      </w:r>
      <w:r w:rsidR="002605F7">
        <w:rPr>
          <w:lang w:val="en-US"/>
        </w:rPr>
        <w:t>Also,</w:t>
      </w:r>
      <w:r w:rsidR="00EE6C29">
        <w:rPr>
          <w:lang w:val="en-US"/>
        </w:rPr>
        <w:t xml:space="preserve"> the </w:t>
      </w:r>
      <w:r w:rsidR="009F27D8" w:rsidRPr="00480F72">
        <w:rPr>
          <w:lang w:val="en-US"/>
        </w:rPr>
        <w:t xml:space="preserve">Schweizer Blick, </w:t>
      </w:r>
      <w:r w:rsidR="00EE6C29">
        <w:rPr>
          <w:lang w:val="en-US"/>
        </w:rPr>
        <w:t>the</w:t>
      </w:r>
      <w:r w:rsidR="009F27D8" w:rsidRPr="00480F72">
        <w:rPr>
          <w:lang w:val="en-US"/>
        </w:rPr>
        <w:t xml:space="preserve"> Irish Examiner </w:t>
      </w:r>
      <w:r w:rsidR="00EE6C29">
        <w:rPr>
          <w:lang w:val="en-US"/>
        </w:rPr>
        <w:t>and the</w:t>
      </w:r>
      <w:r w:rsidR="009F27D8" w:rsidRPr="00480F72">
        <w:rPr>
          <w:lang w:val="en-US"/>
        </w:rPr>
        <w:t xml:space="preserve"> Irish Times </w:t>
      </w:r>
      <w:r w:rsidR="00EE6C29">
        <w:rPr>
          <w:lang w:val="en-US"/>
        </w:rPr>
        <w:t xml:space="preserve">proclaimed Salzburg one of the most beautiful cities </w:t>
      </w:r>
      <w:r w:rsidR="00681F61">
        <w:rPr>
          <w:lang w:val="en-US"/>
        </w:rPr>
        <w:t>during</w:t>
      </w:r>
      <w:r w:rsidR="00EE6C29">
        <w:rPr>
          <w:lang w:val="en-US"/>
        </w:rPr>
        <w:t xml:space="preserve"> Advent</w:t>
      </w:r>
      <w:r w:rsidR="00681F61">
        <w:rPr>
          <w:lang w:val="en-US"/>
        </w:rPr>
        <w:t xml:space="preserve"> season</w:t>
      </w:r>
      <w:r w:rsidR="009F27D8" w:rsidRPr="00480F72">
        <w:rPr>
          <w:lang w:val="en-US"/>
        </w:rPr>
        <w:t xml:space="preserve">. </w:t>
      </w:r>
    </w:p>
    <w:p w:rsidR="001C6E9D" w:rsidRPr="00480F72" w:rsidRDefault="001C6E9D" w:rsidP="003A1318">
      <w:pPr>
        <w:jc w:val="both"/>
        <w:rPr>
          <w:lang w:val="en-US"/>
        </w:rPr>
      </w:pPr>
    </w:p>
    <w:p w:rsidR="000719FD" w:rsidRPr="00480F72" w:rsidRDefault="00EE6C29" w:rsidP="003A1318">
      <w:pPr>
        <w:jc w:val="both"/>
        <w:outlineLvl w:val="0"/>
        <w:rPr>
          <w:b/>
          <w:lang w:val="en-US"/>
        </w:rPr>
      </w:pPr>
      <w:r>
        <w:rPr>
          <w:b/>
          <w:lang w:val="en-US"/>
        </w:rPr>
        <w:t xml:space="preserve">Guest Arrivals and Overnights </w:t>
      </w:r>
      <w:r w:rsidR="004127AB" w:rsidRPr="00480F72">
        <w:rPr>
          <w:b/>
          <w:lang w:val="en-US"/>
        </w:rPr>
        <w:t>2017</w:t>
      </w:r>
    </w:p>
    <w:p w:rsidR="000719FD" w:rsidRPr="00480F72" w:rsidRDefault="00EE6C29" w:rsidP="003A1318">
      <w:pPr>
        <w:jc w:val="both"/>
        <w:rPr>
          <w:bCs/>
          <w:lang w:val="en-US"/>
        </w:rPr>
      </w:pPr>
      <w:r>
        <w:rPr>
          <w:lang w:val="en-US"/>
        </w:rPr>
        <w:t>Total Arrivals</w:t>
      </w:r>
      <w:r w:rsidR="000719FD" w:rsidRPr="00480F72">
        <w:rPr>
          <w:lang w:val="en-US"/>
        </w:rPr>
        <w:t xml:space="preserve">: </w:t>
      </w:r>
      <w:r w:rsidR="005204DF" w:rsidRPr="00480F72">
        <w:rPr>
          <w:lang w:val="en-US"/>
        </w:rPr>
        <w:t>1</w:t>
      </w:r>
      <w:r>
        <w:rPr>
          <w:lang w:val="en-US"/>
        </w:rPr>
        <w:t>,</w:t>
      </w:r>
      <w:r w:rsidR="001D171C" w:rsidRPr="00480F72">
        <w:rPr>
          <w:lang w:val="en-US"/>
        </w:rPr>
        <w:t>758</w:t>
      </w:r>
      <w:r>
        <w:rPr>
          <w:lang w:val="en-US"/>
        </w:rPr>
        <w:t>,</w:t>
      </w:r>
      <w:r w:rsidR="001D171C" w:rsidRPr="00480F72">
        <w:rPr>
          <w:lang w:val="en-US"/>
        </w:rPr>
        <w:t>056</w:t>
      </w:r>
      <w:r w:rsidR="000719FD" w:rsidRPr="00480F72">
        <w:rPr>
          <w:lang w:val="en-US"/>
        </w:rPr>
        <w:t xml:space="preserve"> (20</w:t>
      </w:r>
      <w:r w:rsidR="004127AB" w:rsidRPr="00480F72">
        <w:rPr>
          <w:lang w:val="en-US"/>
        </w:rPr>
        <w:t>16</w:t>
      </w:r>
      <w:r w:rsidR="000719FD" w:rsidRPr="00480F72">
        <w:rPr>
          <w:lang w:val="en-US"/>
        </w:rPr>
        <w:t xml:space="preserve">: </w:t>
      </w:r>
      <w:r w:rsidR="005204DF" w:rsidRPr="00480F72">
        <w:rPr>
          <w:lang w:val="en-US"/>
        </w:rPr>
        <w:t>1</w:t>
      </w:r>
      <w:r>
        <w:rPr>
          <w:lang w:val="en-US"/>
        </w:rPr>
        <w:t>,</w:t>
      </w:r>
      <w:r w:rsidR="004127AB" w:rsidRPr="00480F72">
        <w:rPr>
          <w:lang w:val="en-US"/>
        </w:rPr>
        <w:t>629</w:t>
      </w:r>
      <w:r>
        <w:rPr>
          <w:lang w:val="en-US"/>
        </w:rPr>
        <w:t>,</w:t>
      </w:r>
      <w:r w:rsidR="004127AB" w:rsidRPr="00480F72">
        <w:rPr>
          <w:lang w:val="en-US"/>
        </w:rPr>
        <w:t>269</w:t>
      </w:r>
      <w:r w:rsidR="000719FD" w:rsidRPr="00480F72">
        <w:rPr>
          <w:lang w:val="en-US"/>
        </w:rPr>
        <w:t xml:space="preserve">) </w:t>
      </w:r>
    </w:p>
    <w:p w:rsidR="000719FD" w:rsidRPr="00480F72" w:rsidRDefault="00681F61" w:rsidP="003A1318">
      <w:pPr>
        <w:jc w:val="both"/>
        <w:rPr>
          <w:lang w:val="en-US"/>
        </w:rPr>
      </w:pPr>
      <w:r>
        <w:rPr>
          <w:lang w:val="en-US"/>
        </w:rPr>
        <w:t>Trend</w:t>
      </w:r>
      <w:r w:rsidR="004127AB" w:rsidRPr="00480F72">
        <w:rPr>
          <w:lang w:val="en-US"/>
        </w:rPr>
        <w:t xml:space="preserve">: </w:t>
      </w:r>
      <w:r w:rsidR="001D171C" w:rsidRPr="00480F72">
        <w:rPr>
          <w:lang w:val="en-US"/>
        </w:rPr>
        <w:t>+7</w:t>
      </w:r>
      <w:r w:rsidR="00EE6C29">
        <w:rPr>
          <w:lang w:val="en-US"/>
        </w:rPr>
        <w:t>.</w:t>
      </w:r>
      <w:r w:rsidR="001D171C" w:rsidRPr="00480F72">
        <w:rPr>
          <w:lang w:val="en-US"/>
        </w:rPr>
        <w:t>9</w:t>
      </w:r>
      <w:r w:rsidR="004127AB" w:rsidRPr="00480F72">
        <w:rPr>
          <w:lang w:val="en-US"/>
        </w:rPr>
        <w:t>%</w:t>
      </w:r>
      <w:r w:rsidR="00EE6C29">
        <w:rPr>
          <w:lang w:val="en-US"/>
        </w:rPr>
        <w:t xml:space="preserve"> in comparison with 2016 </w:t>
      </w:r>
    </w:p>
    <w:p w:rsidR="000719FD" w:rsidRPr="00480F72" w:rsidRDefault="00EE6C29" w:rsidP="003A1318">
      <w:pPr>
        <w:jc w:val="both"/>
        <w:rPr>
          <w:lang w:val="en-US"/>
        </w:rPr>
      </w:pPr>
      <w:r>
        <w:rPr>
          <w:lang w:val="en-US"/>
        </w:rPr>
        <w:t>Total Overnights</w:t>
      </w:r>
      <w:r w:rsidR="004127AB" w:rsidRPr="00480F72">
        <w:rPr>
          <w:lang w:val="en-US"/>
        </w:rPr>
        <w:t xml:space="preserve">: </w:t>
      </w:r>
      <w:r w:rsidR="005204DF" w:rsidRPr="00480F72">
        <w:rPr>
          <w:lang w:val="en-US"/>
        </w:rPr>
        <w:t>3</w:t>
      </w:r>
      <w:r>
        <w:rPr>
          <w:lang w:val="en-US"/>
        </w:rPr>
        <w:t>,</w:t>
      </w:r>
      <w:r w:rsidR="001D171C" w:rsidRPr="00480F72">
        <w:rPr>
          <w:lang w:val="en-US"/>
        </w:rPr>
        <w:t>043</w:t>
      </w:r>
      <w:r>
        <w:rPr>
          <w:lang w:val="en-US"/>
        </w:rPr>
        <w:t>,</w:t>
      </w:r>
      <w:r w:rsidR="001D171C" w:rsidRPr="00480F72">
        <w:rPr>
          <w:lang w:val="en-US"/>
        </w:rPr>
        <w:t>552</w:t>
      </w:r>
      <w:r w:rsidR="004127AB" w:rsidRPr="00480F72">
        <w:rPr>
          <w:lang w:val="en-US"/>
        </w:rPr>
        <w:t xml:space="preserve"> (2016</w:t>
      </w:r>
      <w:r w:rsidR="000719FD" w:rsidRPr="00480F72">
        <w:rPr>
          <w:lang w:val="en-US"/>
        </w:rPr>
        <w:t xml:space="preserve">: </w:t>
      </w:r>
      <w:r w:rsidR="005204DF" w:rsidRPr="00480F72">
        <w:rPr>
          <w:lang w:val="en-US"/>
        </w:rPr>
        <w:t>2</w:t>
      </w:r>
      <w:r>
        <w:rPr>
          <w:lang w:val="en-US"/>
        </w:rPr>
        <w:t>,</w:t>
      </w:r>
      <w:r w:rsidR="004127AB" w:rsidRPr="00480F72">
        <w:rPr>
          <w:lang w:val="en-US"/>
        </w:rPr>
        <w:t>828</w:t>
      </w:r>
      <w:r>
        <w:rPr>
          <w:lang w:val="en-US"/>
        </w:rPr>
        <w:t>,</w:t>
      </w:r>
      <w:r w:rsidR="004127AB" w:rsidRPr="00480F72">
        <w:rPr>
          <w:lang w:val="en-US"/>
        </w:rPr>
        <w:t>871</w:t>
      </w:r>
      <w:r w:rsidR="000719FD" w:rsidRPr="00480F72">
        <w:rPr>
          <w:lang w:val="en-US"/>
        </w:rPr>
        <w:t xml:space="preserve">) </w:t>
      </w:r>
      <w:r w:rsidR="000719FD" w:rsidRPr="00480F72">
        <w:rPr>
          <w:bCs/>
          <w:lang w:val="en-US"/>
        </w:rPr>
        <w:t xml:space="preserve"> </w:t>
      </w:r>
    </w:p>
    <w:p w:rsidR="000719FD" w:rsidRPr="00480F72" w:rsidRDefault="00681F61" w:rsidP="003A1318">
      <w:pPr>
        <w:jc w:val="both"/>
        <w:rPr>
          <w:lang w:val="en-US"/>
        </w:rPr>
      </w:pPr>
      <w:r>
        <w:rPr>
          <w:lang w:val="en-US"/>
        </w:rPr>
        <w:t>Trend</w:t>
      </w:r>
      <w:r w:rsidR="004127AB" w:rsidRPr="00480F72">
        <w:rPr>
          <w:lang w:val="en-US"/>
        </w:rPr>
        <w:t xml:space="preserve">: </w:t>
      </w:r>
      <w:r w:rsidR="001D171C" w:rsidRPr="00480F72">
        <w:rPr>
          <w:lang w:val="en-US"/>
        </w:rPr>
        <w:t>+7</w:t>
      </w:r>
      <w:r w:rsidR="00EE6C29">
        <w:rPr>
          <w:lang w:val="en-US"/>
        </w:rPr>
        <w:t>.</w:t>
      </w:r>
      <w:r w:rsidR="001D171C" w:rsidRPr="00480F72">
        <w:rPr>
          <w:lang w:val="en-US"/>
        </w:rPr>
        <w:t>6</w:t>
      </w:r>
      <w:r w:rsidR="004127AB" w:rsidRPr="00480F72">
        <w:rPr>
          <w:lang w:val="en-US"/>
        </w:rPr>
        <w:t>%</w:t>
      </w:r>
      <w:r w:rsidR="00EE6C29">
        <w:rPr>
          <w:lang w:val="en-US"/>
        </w:rPr>
        <w:t xml:space="preserve"> in comparison with </w:t>
      </w:r>
      <w:r w:rsidR="004127AB" w:rsidRPr="00480F72">
        <w:rPr>
          <w:lang w:val="en-US"/>
        </w:rPr>
        <w:t>2016</w:t>
      </w:r>
    </w:p>
    <w:p w:rsidR="000719FD" w:rsidRPr="00480F72" w:rsidRDefault="000719FD" w:rsidP="003A1318">
      <w:pPr>
        <w:jc w:val="both"/>
        <w:outlineLvl w:val="0"/>
        <w:rPr>
          <w:lang w:val="en-US"/>
        </w:rPr>
      </w:pPr>
    </w:p>
    <w:p w:rsidR="00C538EF" w:rsidRPr="00480F72" w:rsidRDefault="00EE6C29" w:rsidP="00C538EF">
      <w:pPr>
        <w:jc w:val="both"/>
        <w:rPr>
          <w:lang w:val="en-US"/>
        </w:rPr>
      </w:pPr>
      <w:r>
        <w:rPr>
          <w:lang w:val="en-US"/>
        </w:rPr>
        <w:t>The year 2017 brought record results for overnight tourism in the provincial capital: with a growth of 7.6% in overnights and a 7.9% increase in arrivals, the city achieved the best results since tourism statistics have been recorded. For the first time, the 3</w:t>
      </w:r>
      <w:r w:rsidR="00681F61">
        <w:rPr>
          <w:lang w:val="en-US"/>
        </w:rPr>
        <w:t>-</w:t>
      </w:r>
      <w:r>
        <w:rPr>
          <w:lang w:val="en-US"/>
        </w:rPr>
        <w:t>million</w:t>
      </w:r>
      <w:r w:rsidR="00681F61">
        <w:rPr>
          <w:lang w:val="en-US"/>
        </w:rPr>
        <w:t>-</w:t>
      </w:r>
      <w:r>
        <w:rPr>
          <w:lang w:val="en-US"/>
        </w:rPr>
        <w:t xml:space="preserve">overnight barrier was crossed. Bed occupancy rates, with around 12,200 beds available in the city, rose to 59.86% (as compared to 57.33% in the </w:t>
      </w:r>
      <w:r w:rsidR="00681F61">
        <w:rPr>
          <w:lang w:val="en-US"/>
        </w:rPr>
        <w:t>prior</w:t>
      </w:r>
      <w:r>
        <w:rPr>
          <w:lang w:val="en-US"/>
        </w:rPr>
        <w:t xml:space="preserve"> year), which represents a room occupancy rate of some 80%</w:t>
      </w:r>
      <w:r w:rsidR="009B05CC" w:rsidRPr="00480F72">
        <w:rPr>
          <w:lang w:val="en-US"/>
        </w:rPr>
        <w:t>.</w:t>
      </w:r>
      <w:r w:rsidR="000C0FC6" w:rsidRPr="00480F72">
        <w:rPr>
          <w:lang w:val="en-US"/>
        </w:rPr>
        <w:t xml:space="preserve"> </w:t>
      </w:r>
      <w:r>
        <w:rPr>
          <w:lang w:val="en-US"/>
        </w:rPr>
        <w:t xml:space="preserve">Viewed seasonally, most overnights were recorded in the summer half-year </w:t>
      </w:r>
      <w:r w:rsidR="00C538EF" w:rsidRPr="00480F72">
        <w:rPr>
          <w:lang w:val="en-US"/>
        </w:rPr>
        <w:t xml:space="preserve">(61%) </w:t>
      </w:r>
      <w:r>
        <w:rPr>
          <w:lang w:val="en-US"/>
        </w:rPr>
        <w:t xml:space="preserve">with peaks reached in July and August (representing, when taken together, roughly </w:t>
      </w:r>
      <w:r w:rsidR="00681F61">
        <w:rPr>
          <w:lang w:val="en-US"/>
        </w:rPr>
        <w:t xml:space="preserve">one quarter </w:t>
      </w:r>
      <w:r>
        <w:rPr>
          <w:lang w:val="en-US"/>
        </w:rPr>
        <w:t>of all overnights, 23.7%</w:t>
      </w:r>
      <w:r w:rsidR="00C538EF" w:rsidRPr="00480F72">
        <w:rPr>
          <w:lang w:val="en-US"/>
        </w:rPr>
        <w:t>).</w:t>
      </w:r>
    </w:p>
    <w:p w:rsidR="000719FD" w:rsidRPr="00480F72" w:rsidRDefault="00EE6C29" w:rsidP="003A1318">
      <w:pPr>
        <w:jc w:val="both"/>
        <w:rPr>
          <w:lang w:val="en-US"/>
        </w:rPr>
      </w:pPr>
      <w:r>
        <w:rPr>
          <w:lang w:val="en-US"/>
        </w:rPr>
        <w:t xml:space="preserve">The average length of stay has remained stable in recent years. </w:t>
      </w:r>
      <w:r w:rsidR="0083134F">
        <w:rPr>
          <w:lang w:val="en-US"/>
        </w:rPr>
        <w:t>It also was unchanged in 2017 as compared with 2016, lying at 1.7 days</w:t>
      </w:r>
      <w:r w:rsidR="000719FD" w:rsidRPr="00480F72">
        <w:rPr>
          <w:lang w:val="en-US"/>
        </w:rPr>
        <w:t xml:space="preserve">. </w:t>
      </w:r>
    </w:p>
    <w:p w:rsidR="002B6E4F" w:rsidRDefault="002B6E4F" w:rsidP="003A1318">
      <w:pPr>
        <w:jc w:val="both"/>
        <w:rPr>
          <w:b/>
          <w:lang w:val="en-US"/>
        </w:rPr>
      </w:pPr>
    </w:p>
    <w:p w:rsidR="001C6E9D" w:rsidRDefault="001C6E9D" w:rsidP="003A1318">
      <w:pPr>
        <w:jc w:val="both"/>
        <w:rPr>
          <w:b/>
          <w:lang w:val="en-US"/>
        </w:rPr>
      </w:pPr>
    </w:p>
    <w:p w:rsidR="001C6E9D" w:rsidRPr="00480F72" w:rsidRDefault="001C6E9D" w:rsidP="003A1318">
      <w:pPr>
        <w:jc w:val="both"/>
        <w:rPr>
          <w:b/>
          <w:lang w:val="en-US"/>
        </w:rPr>
      </w:pPr>
    </w:p>
    <w:p w:rsidR="000719FD" w:rsidRPr="00480F72" w:rsidRDefault="0083134F" w:rsidP="003A1318">
      <w:pPr>
        <w:jc w:val="both"/>
        <w:rPr>
          <w:b/>
          <w:lang w:val="en-US"/>
        </w:rPr>
      </w:pPr>
      <w:r>
        <w:rPr>
          <w:b/>
          <w:lang w:val="en-US"/>
        </w:rPr>
        <w:lastRenderedPageBreak/>
        <w:t xml:space="preserve">Overnight figures </w:t>
      </w:r>
      <w:r w:rsidR="00681F61">
        <w:rPr>
          <w:b/>
          <w:lang w:val="en-US"/>
        </w:rPr>
        <w:t>generated by the</w:t>
      </w:r>
      <w:r>
        <w:rPr>
          <w:b/>
          <w:lang w:val="en-US"/>
        </w:rPr>
        <w:t xml:space="preserve"> 10 biggest originating countries </w:t>
      </w:r>
    </w:p>
    <w:p w:rsidR="009B05CC" w:rsidRDefault="0083134F" w:rsidP="003A1318">
      <w:pPr>
        <w:jc w:val="both"/>
        <w:rPr>
          <w:lang w:val="en-US"/>
        </w:rPr>
      </w:pPr>
      <w:r>
        <w:rPr>
          <w:lang w:val="en-US"/>
        </w:rPr>
        <w:t>The most important originating countries, totaling over 100,000 overnights in the year 2017, were: Austria, Germany, USA, China, Great Britain</w:t>
      </w:r>
      <w:r w:rsidR="00290BE5">
        <w:rPr>
          <w:lang w:val="en-US"/>
        </w:rPr>
        <w:t>,</w:t>
      </w:r>
      <w:r>
        <w:rPr>
          <w:lang w:val="en-US"/>
        </w:rPr>
        <w:t xml:space="preserve"> and Italy. These six countries </w:t>
      </w:r>
      <w:r w:rsidR="00681F61">
        <w:rPr>
          <w:lang w:val="en-US"/>
        </w:rPr>
        <w:t xml:space="preserve">taken </w:t>
      </w:r>
      <w:r>
        <w:rPr>
          <w:lang w:val="en-US"/>
        </w:rPr>
        <w:t>together are responsible for 64% of overnights. In 2017, 46% of guests came from the German-speaking world, in other words, Austria, Germany and Switzerland</w:t>
      </w:r>
      <w:r w:rsidR="009B05CC" w:rsidRPr="00480F72">
        <w:rPr>
          <w:lang w:val="en-US"/>
        </w:rPr>
        <w:t xml:space="preserve">. </w:t>
      </w:r>
      <w:r>
        <w:rPr>
          <w:lang w:val="en-US"/>
        </w:rPr>
        <w:t>The top</w:t>
      </w:r>
      <w:r w:rsidR="00681F61">
        <w:rPr>
          <w:lang w:val="en-US"/>
        </w:rPr>
        <w:t>-</w:t>
      </w:r>
      <w:r>
        <w:rPr>
          <w:lang w:val="en-US"/>
        </w:rPr>
        <w:t xml:space="preserve">10 </w:t>
      </w:r>
      <w:r w:rsidR="00681F61">
        <w:rPr>
          <w:lang w:val="en-US"/>
        </w:rPr>
        <w:t xml:space="preserve">list </w:t>
      </w:r>
      <w:r>
        <w:rPr>
          <w:lang w:val="en-US"/>
        </w:rPr>
        <w:t xml:space="preserve">includes five </w:t>
      </w:r>
      <w:r w:rsidR="00290BE5">
        <w:rPr>
          <w:lang w:val="en-US"/>
        </w:rPr>
        <w:t>overseas</w:t>
      </w:r>
      <w:r>
        <w:rPr>
          <w:lang w:val="en-US"/>
        </w:rPr>
        <w:t xml:space="preserve"> markets, </w:t>
      </w:r>
      <w:r w:rsidR="00681F61">
        <w:rPr>
          <w:lang w:val="en-US"/>
        </w:rPr>
        <w:t xml:space="preserve">marking </w:t>
      </w:r>
      <w:r>
        <w:rPr>
          <w:lang w:val="en-US"/>
        </w:rPr>
        <w:t xml:space="preserve">a shift in comparison to the previous year, especially </w:t>
      </w:r>
      <w:r w:rsidR="00681F61">
        <w:rPr>
          <w:lang w:val="en-US"/>
        </w:rPr>
        <w:t>in</w:t>
      </w:r>
      <w:r>
        <w:rPr>
          <w:lang w:val="en-US"/>
        </w:rPr>
        <w:t xml:space="preserve"> arrivals from Asian countries: China moved into </w:t>
      </w:r>
      <w:r w:rsidR="00290BE5">
        <w:rPr>
          <w:lang w:val="en-US"/>
        </w:rPr>
        <w:t>fourth</w:t>
      </w:r>
      <w:r w:rsidR="00681F61">
        <w:rPr>
          <w:lang w:val="en-US"/>
        </w:rPr>
        <w:t xml:space="preserve"> place</w:t>
      </w:r>
      <w:r>
        <w:rPr>
          <w:lang w:val="en-US"/>
        </w:rPr>
        <w:t xml:space="preserve">, South Korea edged out Switzerland, while Taiwan took over </w:t>
      </w:r>
      <w:r w:rsidR="00290BE5">
        <w:rPr>
          <w:lang w:val="en-US"/>
        </w:rPr>
        <w:t>tenth</w:t>
      </w:r>
      <w:r>
        <w:rPr>
          <w:lang w:val="en-US"/>
        </w:rPr>
        <w:t xml:space="preserve"> place from Spain</w:t>
      </w:r>
      <w:r w:rsidR="00F4575A" w:rsidRPr="00480F72">
        <w:rPr>
          <w:lang w:val="en-US"/>
        </w:rPr>
        <w:t xml:space="preserve">. </w:t>
      </w:r>
    </w:p>
    <w:p w:rsidR="001C6E9D" w:rsidRPr="00480F72" w:rsidRDefault="001C6E9D" w:rsidP="003A1318">
      <w:pPr>
        <w:jc w:val="both"/>
        <w:rPr>
          <w:lang w:val="en-US"/>
        </w:rPr>
      </w:pPr>
    </w:p>
    <w:tbl>
      <w:tblPr>
        <w:tblW w:w="9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1043"/>
        <w:gridCol w:w="869"/>
        <w:gridCol w:w="2785"/>
        <w:gridCol w:w="1043"/>
        <w:gridCol w:w="869"/>
      </w:tblGrid>
      <w:tr w:rsidR="00C510CC" w:rsidRPr="00480F72" w:rsidTr="0041467B">
        <w:trPr>
          <w:trHeight w:val="418"/>
        </w:trPr>
        <w:tc>
          <w:tcPr>
            <w:tcW w:w="2611" w:type="dxa"/>
            <w:tcBorders>
              <w:bottom w:val="single" w:sz="4" w:space="0" w:color="auto"/>
            </w:tcBorders>
            <w:shd w:val="clear" w:color="auto" w:fill="D9D9D9"/>
          </w:tcPr>
          <w:p w:rsidR="000719FD" w:rsidRPr="00480F72" w:rsidRDefault="000719FD" w:rsidP="003A1318">
            <w:pPr>
              <w:spacing w:before="120"/>
              <w:jc w:val="both"/>
              <w:rPr>
                <w:b/>
                <w:lang w:val="en-US"/>
              </w:rPr>
            </w:pPr>
            <w:r w:rsidRPr="00480F72">
              <w:rPr>
                <w:b/>
                <w:lang w:val="en-US"/>
              </w:rPr>
              <w:t>201</w:t>
            </w:r>
            <w:r w:rsidR="004127AB" w:rsidRPr="00480F72">
              <w:rPr>
                <w:b/>
                <w:lang w:val="en-US"/>
              </w:rPr>
              <w:t>7</w:t>
            </w:r>
          </w:p>
        </w:tc>
        <w:tc>
          <w:tcPr>
            <w:tcW w:w="1043" w:type="dxa"/>
            <w:tcBorders>
              <w:bottom w:val="single" w:sz="4" w:space="0" w:color="auto"/>
            </w:tcBorders>
            <w:shd w:val="clear" w:color="auto" w:fill="D9D9D9"/>
          </w:tcPr>
          <w:p w:rsidR="000719FD" w:rsidRPr="00480F72" w:rsidRDefault="0083134F" w:rsidP="003A1318">
            <w:pPr>
              <w:spacing w:before="120"/>
              <w:jc w:val="both"/>
              <w:rPr>
                <w:b/>
                <w:lang w:val="en-US"/>
              </w:rPr>
            </w:pPr>
            <w:r>
              <w:rPr>
                <w:b/>
                <w:lang w:val="en-US"/>
              </w:rPr>
              <w:t>Raw Figures</w:t>
            </w:r>
          </w:p>
        </w:tc>
        <w:tc>
          <w:tcPr>
            <w:tcW w:w="869" w:type="dxa"/>
            <w:tcBorders>
              <w:bottom w:val="single" w:sz="4" w:space="0" w:color="auto"/>
            </w:tcBorders>
            <w:shd w:val="clear" w:color="auto" w:fill="D9D9D9"/>
          </w:tcPr>
          <w:p w:rsidR="000719FD" w:rsidRPr="00480F72" w:rsidRDefault="00681F61" w:rsidP="003A1318">
            <w:pPr>
              <w:spacing w:before="120"/>
              <w:jc w:val="both"/>
              <w:rPr>
                <w:b/>
                <w:lang w:val="en-US"/>
              </w:rPr>
            </w:pPr>
            <w:r>
              <w:rPr>
                <w:b/>
                <w:lang w:val="en-US"/>
              </w:rPr>
              <w:t>Share</w:t>
            </w:r>
          </w:p>
        </w:tc>
        <w:tc>
          <w:tcPr>
            <w:tcW w:w="2785" w:type="dxa"/>
            <w:tcBorders>
              <w:bottom w:val="single" w:sz="4" w:space="0" w:color="auto"/>
            </w:tcBorders>
            <w:shd w:val="clear" w:color="auto" w:fill="D9D9D9"/>
          </w:tcPr>
          <w:p w:rsidR="000719FD" w:rsidRPr="00480F72" w:rsidRDefault="000719FD" w:rsidP="003A1318">
            <w:pPr>
              <w:spacing w:before="120"/>
              <w:jc w:val="both"/>
              <w:rPr>
                <w:b/>
                <w:lang w:val="en-US"/>
              </w:rPr>
            </w:pPr>
            <w:r w:rsidRPr="00480F72">
              <w:rPr>
                <w:b/>
                <w:lang w:val="en-US"/>
              </w:rPr>
              <w:t>201</w:t>
            </w:r>
            <w:r w:rsidR="004127AB" w:rsidRPr="00480F72">
              <w:rPr>
                <w:b/>
                <w:lang w:val="en-US"/>
              </w:rPr>
              <w:t>6</w:t>
            </w:r>
          </w:p>
        </w:tc>
        <w:tc>
          <w:tcPr>
            <w:tcW w:w="1043" w:type="dxa"/>
            <w:tcBorders>
              <w:bottom w:val="single" w:sz="4" w:space="0" w:color="auto"/>
            </w:tcBorders>
            <w:shd w:val="clear" w:color="auto" w:fill="D9D9D9"/>
          </w:tcPr>
          <w:p w:rsidR="000719FD" w:rsidRPr="00480F72" w:rsidRDefault="0083134F" w:rsidP="003A1318">
            <w:pPr>
              <w:spacing w:before="120"/>
              <w:jc w:val="both"/>
              <w:rPr>
                <w:b/>
                <w:lang w:val="en-US"/>
              </w:rPr>
            </w:pPr>
            <w:r>
              <w:rPr>
                <w:b/>
                <w:lang w:val="en-US"/>
              </w:rPr>
              <w:t>Raw Figures</w:t>
            </w:r>
          </w:p>
        </w:tc>
        <w:tc>
          <w:tcPr>
            <w:tcW w:w="869" w:type="dxa"/>
            <w:tcBorders>
              <w:bottom w:val="single" w:sz="4" w:space="0" w:color="auto"/>
            </w:tcBorders>
            <w:shd w:val="clear" w:color="auto" w:fill="D9D9D9"/>
          </w:tcPr>
          <w:p w:rsidR="000719FD" w:rsidRPr="00480F72" w:rsidRDefault="00681F61" w:rsidP="003A1318">
            <w:pPr>
              <w:spacing w:before="120"/>
              <w:jc w:val="both"/>
              <w:rPr>
                <w:b/>
                <w:lang w:val="en-US"/>
              </w:rPr>
            </w:pPr>
            <w:r>
              <w:rPr>
                <w:b/>
                <w:lang w:val="en-US"/>
              </w:rPr>
              <w:t>Share</w:t>
            </w:r>
          </w:p>
        </w:tc>
      </w:tr>
      <w:tr w:rsidR="00C510CC" w:rsidRPr="00480F72" w:rsidTr="000719FD">
        <w:trPr>
          <w:trHeight w:val="418"/>
        </w:trPr>
        <w:tc>
          <w:tcPr>
            <w:tcW w:w="2611" w:type="dxa"/>
            <w:tcBorders>
              <w:bottom w:val="nil"/>
            </w:tcBorders>
            <w:shd w:val="clear" w:color="auto" w:fill="FFFFFF"/>
          </w:tcPr>
          <w:p w:rsidR="000719FD" w:rsidRPr="00480F72" w:rsidRDefault="000719FD" w:rsidP="003A1318">
            <w:pPr>
              <w:spacing w:before="120"/>
              <w:jc w:val="both"/>
              <w:rPr>
                <w:b/>
                <w:lang w:val="en-US"/>
              </w:rPr>
            </w:pPr>
          </w:p>
        </w:tc>
        <w:tc>
          <w:tcPr>
            <w:tcW w:w="1043" w:type="dxa"/>
            <w:tcBorders>
              <w:bottom w:val="nil"/>
            </w:tcBorders>
            <w:shd w:val="clear" w:color="auto" w:fill="FFFFFF"/>
          </w:tcPr>
          <w:p w:rsidR="000719FD" w:rsidRPr="00480F72" w:rsidRDefault="000719FD" w:rsidP="003A1318">
            <w:pPr>
              <w:spacing w:before="120"/>
              <w:jc w:val="both"/>
              <w:rPr>
                <w:b/>
                <w:lang w:val="en-US"/>
              </w:rPr>
            </w:pPr>
          </w:p>
        </w:tc>
        <w:tc>
          <w:tcPr>
            <w:tcW w:w="869" w:type="dxa"/>
            <w:tcBorders>
              <w:bottom w:val="nil"/>
            </w:tcBorders>
            <w:shd w:val="clear" w:color="auto" w:fill="FFFFFF"/>
          </w:tcPr>
          <w:p w:rsidR="000719FD" w:rsidRPr="00480F72" w:rsidRDefault="000719FD" w:rsidP="003A1318">
            <w:pPr>
              <w:spacing w:before="120"/>
              <w:jc w:val="both"/>
              <w:rPr>
                <w:b/>
                <w:lang w:val="en-US"/>
              </w:rPr>
            </w:pPr>
          </w:p>
        </w:tc>
        <w:tc>
          <w:tcPr>
            <w:tcW w:w="2785" w:type="dxa"/>
            <w:tcBorders>
              <w:bottom w:val="nil"/>
            </w:tcBorders>
            <w:shd w:val="clear" w:color="auto" w:fill="FFFFFF"/>
          </w:tcPr>
          <w:p w:rsidR="000719FD" w:rsidRPr="00480F72" w:rsidRDefault="000719FD" w:rsidP="003A1318">
            <w:pPr>
              <w:spacing w:before="120"/>
              <w:jc w:val="both"/>
              <w:rPr>
                <w:b/>
                <w:lang w:val="en-US"/>
              </w:rPr>
            </w:pPr>
          </w:p>
        </w:tc>
        <w:tc>
          <w:tcPr>
            <w:tcW w:w="1043" w:type="dxa"/>
            <w:tcBorders>
              <w:bottom w:val="nil"/>
            </w:tcBorders>
            <w:shd w:val="clear" w:color="auto" w:fill="FFFFFF"/>
          </w:tcPr>
          <w:p w:rsidR="000719FD" w:rsidRPr="00480F72" w:rsidRDefault="000719FD" w:rsidP="003A1318">
            <w:pPr>
              <w:spacing w:before="120"/>
              <w:jc w:val="both"/>
              <w:rPr>
                <w:b/>
                <w:lang w:val="en-US"/>
              </w:rPr>
            </w:pPr>
          </w:p>
        </w:tc>
        <w:tc>
          <w:tcPr>
            <w:tcW w:w="869" w:type="dxa"/>
            <w:tcBorders>
              <w:bottom w:val="nil"/>
            </w:tcBorders>
            <w:shd w:val="clear" w:color="auto" w:fill="FFFFFF"/>
          </w:tcPr>
          <w:p w:rsidR="000719FD" w:rsidRPr="00480F72" w:rsidRDefault="000719FD" w:rsidP="003A1318">
            <w:pPr>
              <w:spacing w:before="120"/>
              <w:jc w:val="both"/>
              <w:rPr>
                <w:b/>
                <w:lang w:val="en-US"/>
              </w:rPr>
            </w:pPr>
          </w:p>
        </w:tc>
      </w:tr>
      <w:tr w:rsidR="004127AB" w:rsidRPr="00480F72" w:rsidTr="0041467B">
        <w:trPr>
          <w:trHeight w:val="290"/>
        </w:trPr>
        <w:tc>
          <w:tcPr>
            <w:tcW w:w="2611" w:type="dxa"/>
            <w:tcBorders>
              <w:top w:val="nil"/>
            </w:tcBorders>
          </w:tcPr>
          <w:p w:rsidR="004127AB" w:rsidRPr="00480F72" w:rsidRDefault="004127AB" w:rsidP="004127AB">
            <w:pPr>
              <w:spacing w:after="40" w:line="360" w:lineRule="auto"/>
              <w:jc w:val="both"/>
              <w:rPr>
                <w:lang w:val="en-US"/>
              </w:rPr>
            </w:pPr>
            <w:r w:rsidRPr="00480F72">
              <w:rPr>
                <w:lang w:val="en-US"/>
              </w:rPr>
              <w:t xml:space="preserve">1. </w:t>
            </w:r>
            <w:r w:rsidR="0083134F">
              <w:rPr>
                <w:lang w:val="en-US"/>
              </w:rPr>
              <w:t>Austria</w:t>
            </w:r>
          </w:p>
          <w:p w:rsidR="004127AB" w:rsidRPr="00480F72" w:rsidRDefault="004127AB" w:rsidP="004127AB">
            <w:pPr>
              <w:spacing w:after="40" w:line="360" w:lineRule="auto"/>
              <w:jc w:val="both"/>
              <w:rPr>
                <w:lang w:val="en-US"/>
              </w:rPr>
            </w:pPr>
            <w:r w:rsidRPr="00480F72">
              <w:rPr>
                <w:lang w:val="en-US"/>
              </w:rPr>
              <w:t xml:space="preserve">2. </w:t>
            </w:r>
            <w:r w:rsidR="0083134F">
              <w:rPr>
                <w:lang w:val="en-US"/>
              </w:rPr>
              <w:t>Germany</w:t>
            </w:r>
          </w:p>
          <w:p w:rsidR="004127AB" w:rsidRPr="00480F72" w:rsidRDefault="004127AB" w:rsidP="004127AB">
            <w:pPr>
              <w:spacing w:after="40" w:line="360" w:lineRule="auto"/>
              <w:jc w:val="both"/>
              <w:rPr>
                <w:lang w:val="en-US"/>
              </w:rPr>
            </w:pPr>
            <w:r w:rsidRPr="00480F72">
              <w:rPr>
                <w:lang w:val="en-US"/>
              </w:rPr>
              <w:t>3. USA</w:t>
            </w:r>
          </w:p>
          <w:p w:rsidR="004127AB" w:rsidRPr="00480F72" w:rsidRDefault="004127AB" w:rsidP="004127AB">
            <w:pPr>
              <w:spacing w:after="40" w:line="360" w:lineRule="auto"/>
              <w:jc w:val="both"/>
              <w:rPr>
                <w:lang w:val="en-US"/>
              </w:rPr>
            </w:pPr>
            <w:r w:rsidRPr="00480F72">
              <w:rPr>
                <w:lang w:val="en-US"/>
              </w:rPr>
              <w:t xml:space="preserve">4. </w:t>
            </w:r>
            <w:r w:rsidR="001D171C" w:rsidRPr="00480F72">
              <w:rPr>
                <w:lang w:val="en-US"/>
              </w:rPr>
              <w:t>China</w:t>
            </w:r>
            <w:r w:rsidRPr="00480F72">
              <w:rPr>
                <w:lang w:val="en-US"/>
              </w:rPr>
              <w:t xml:space="preserve"> </w:t>
            </w:r>
          </w:p>
          <w:p w:rsidR="004127AB" w:rsidRPr="00480F72" w:rsidRDefault="004127AB" w:rsidP="004127AB">
            <w:pPr>
              <w:spacing w:after="40" w:line="360" w:lineRule="auto"/>
              <w:jc w:val="both"/>
              <w:rPr>
                <w:lang w:val="en-US"/>
              </w:rPr>
            </w:pPr>
            <w:r w:rsidRPr="00480F72">
              <w:rPr>
                <w:lang w:val="en-US"/>
              </w:rPr>
              <w:t xml:space="preserve">5. </w:t>
            </w:r>
            <w:r w:rsidR="0083134F">
              <w:rPr>
                <w:lang w:val="en-US"/>
              </w:rPr>
              <w:t>Great Britain</w:t>
            </w:r>
          </w:p>
          <w:p w:rsidR="004127AB" w:rsidRPr="00480F72" w:rsidRDefault="004127AB" w:rsidP="004127AB">
            <w:pPr>
              <w:spacing w:after="40" w:line="360" w:lineRule="auto"/>
              <w:jc w:val="both"/>
              <w:rPr>
                <w:lang w:val="en-US"/>
              </w:rPr>
            </w:pPr>
            <w:r w:rsidRPr="00480F72">
              <w:rPr>
                <w:lang w:val="en-US"/>
              </w:rPr>
              <w:t xml:space="preserve">6. </w:t>
            </w:r>
            <w:r w:rsidR="0083134F">
              <w:rPr>
                <w:lang w:val="en-US"/>
              </w:rPr>
              <w:t>Italy</w:t>
            </w:r>
          </w:p>
          <w:p w:rsidR="004127AB" w:rsidRPr="00480F72" w:rsidRDefault="004127AB" w:rsidP="004127AB">
            <w:pPr>
              <w:spacing w:after="40" w:line="360" w:lineRule="auto"/>
              <w:jc w:val="both"/>
              <w:rPr>
                <w:highlight w:val="yellow"/>
                <w:lang w:val="en-US"/>
              </w:rPr>
            </w:pPr>
            <w:r w:rsidRPr="00480F72">
              <w:rPr>
                <w:lang w:val="en-US"/>
              </w:rPr>
              <w:t xml:space="preserve">7. </w:t>
            </w:r>
            <w:r w:rsidR="0083134F">
              <w:rPr>
                <w:lang w:val="en-US"/>
              </w:rPr>
              <w:t>South Korea</w:t>
            </w:r>
          </w:p>
          <w:p w:rsidR="004127AB" w:rsidRPr="00480F72" w:rsidRDefault="004127AB" w:rsidP="004127AB">
            <w:pPr>
              <w:spacing w:after="40" w:line="360" w:lineRule="auto"/>
              <w:jc w:val="both"/>
              <w:rPr>
                <w:lang w:val="en-US"/>
              </w:rPr>
            </w:pPr>
            <w:r w:rsidRPr="00480F72">
              <w:rPr>
                <w:lang w:val="en-US"/>
              </w:rPr>
              <w:t xml:space="preserve">8. </w:t>
            </w:r>
            <w:r w:rsidR="0083134F">
              <w:rPr>
                <w:lang w:val="en-US"/>
              </w:rPr>
              <w:t>Switzerland</w:t>
            </w:r>
          </w:p>
          <w:p w:rsidR="004127AB" w:rsidRPr="00480F72" w:rsidRDefault="004127AB" w:rsidP="004127AB">
            <w:pPr>
              <w:spacing w:after="40" w:line="360" w:lineRule="auto"/>
              <w:jc w:val="both"/>
              <w:rPr>
                <w:lang w:val="en-US"/>
              </w:rPr>
            </w:pPr>
            <w:r w:rsidRPr="00480F72">
              <w:rPr>
                <w:lang w:val="en-US"/>
              </w:rPr>
              <w:t xml:space="preserve">9. </w:t>
            </w:r>
            <w:r w:rsidR="0083134F">
              <w:rPr>
                <w:lang w:val="en-US"/>
              </w:rPr>
              <w:t>Australia</w:t>
            </w:r>
          </w:p>
          <w:p w:rsidR="004127AB" w:rsidRPr="00480F72" w:rsidRDefault="004127AB" w:rsidP="005D5F29">
            <w:pPr>
              <w:spacing w:after="40" w:line="360" w:lineRule="auto"/>
              <w:jc w:val="both"/>
              <w:rPr>
                <w:highlight w:val="yellow"/>
                <w:lang w:val="en-US"/>
              </w:rPr>
            </w:pPr>
            <w:r w:rsidRPr="00480F72">
              <w:rPr>
                <w:lang w:val="en-US"/>
              </w:rPr>
              <w:t xml:space="preserve">10. </w:t>
            </w:r>
            <w:r w:rsidR="005D5F29" w:rsidRPr="00480F72">
              <w:rPr>
                <w:lang w:val="en-US"/>
              </w:rPr>
              <w:t>Taiwan</w:t>
            </w:r>
          </w:p>
        </w:tc>
        <w:tc>
          <w:tcPr>
            <w:tcW w:w="1043" w:type="dxa"/>
            <w:tcBorders>
              <w:top w:val="nil"/>
            </w:tcBorders>
          </w:tcPr>
          <w:p w:rsidR="004127AB" w:rsidRPr="00480F72" w:rsidRDefault="001D171C" w:rsidP="004127AB">
            <w:pPr>
              <w:spacing w:after="40" w:line="360" w:lineRule="auto"/>
              <w:jc w:val="both"/>
              <w:rPr>
                <w:lang w:val="en-US"/>
              </w:rPr>
            </w:pPr>
            <w:r w:rsidRPr="00480F72">
              <w:rPr>
                <w:lang w:val="en-US"/>
              </w:rPr>
              <w:t>715</w:t>
            </w:r>
            <w:r w:rsidR="0083134F">
              <w:rPr>
                <w:lang w:val="en-US"/>
              </w:rPr>
              <w:t>,</w:t>
            </w:r>
            <w:r w:rsidRPr="00480F72">
              <w:rPr>
                <w:lang w:val="en-US"/>
              </w:rPr>
              <w:t>228</w:t>
            </w:r>
          </w:p>
          <w:p w:rsidR="004127AB" w:rsidRPr="00480F72" w:rsidRDefault="001D171C" w:rsidP="004127AB">
            <w:pPr>
              <w:spacing w:after="40" w:line="360" w:lineRule="auto"/>
              <w:jc w:val="both"/>
              <w:rPr>
                <w:lang w:val="en-US"/>
              </w:rPr>
            </w:pPr>
            <w:r w:rsidRPr="00480F72">
              <w:rPr>
                <w:lang w:val="en-US"/>
              </w:rPr>
              <w:t>604</w:t>
            </w:r>
            <w:r w:rsidR="0083134F">
              <w:rPr>
                <w:lang w:val="en-US"/>
              </w:rPr>
              <w:t>,</w:t>
            </w:r>
            <w:r w:rsidRPr="00480F72">
              <w:rPr>
                <w:lang w:val="en-US"/>
              </w:rPr>
              <w:t>640</w:t>
            </w:r>
          </w:p>
          <w:p w:rsidR="004127AB" w:rsidRPr="00480F72" w:rsidRDefault="001D171C" w:rsidP="004127AB">
            <w:pPr>
              <w:spacing w:after="40" w:line="360" w:lineRule="auto"/>
              <w:jc w:val="both"/>
              <w:rPr>
                <w:lang w:val="en-US"/>
              </w:rPr>
            </w:pPr>
            <w:r w:rsidRPr="00480F72">
              <w:rPr>
                <w:lang w:val="en-US"/>
              </w:rPr>
              <w:t>252</w:t>
            </w:r>
            <w:r w:rsidR="0083134F">
              <w:rPr>
                <w:lang w:val="en-US"/>
              </w:rPr>
              <w:t>,</w:t>
            </w:r>
            <w:r w:rsidRPr="00480F72">
              <w:rPr>
                <w:lang w:val="en-US"/>
              </w:rPr>
              <w:t>195</w:t>
            </w:r>
          </w:p>
          <w:p w:rsidR="004127AB" w:rsidRPr="00480F72" w:rsidRDefault="001D171C" w:rsidP="004127AB">
            <w:pPr>
              <w:spacing w:after="40" w:line="360" w:lineRule="auto"/>
              <w:jc w:val="both"/>
              <w:rPr>
                <w:lang w:val="en-US"/>
              </w:rPr>
            </w:pPr>
            <w:r w:rsidRPr="00480F72">
              <w:rPr>
                <w:lang w:val="en-US"/>
              </w:rPr>
              <w:t>127</w:t>
            </w:r>
            <w:r w:rsidR="0083134F">
              <w:rPr>
                <w:lang w:val="en-US"/>
              </w:rPr>
              <w:t>,</w:t>
            </w:r>
            <w:r w:rsidRPr="00480F72">
              <w:rPr>
                <w:lang w:val="en-US"/>
              </w:rPr>
              <w:t>871</w:t>
            </w:r>
          </w:p>
          <w:p w:rsidR="004127AB" w:rsidRPr="00480F72" w:rsidRDefault="001D171C" w:rsidP="004127AB">
            <w:pPr>
              <w:spacing w:after="40" w:line="360" w:lineRule="auto"/>
              <w:jc w:val="both"/>
              <w:rPr>
                <w:lang w:val="en-US"/>
              </w:rPr>
            </w:pPr>
            <w:r w:rsidRPr="00480F72">
              <w:rPr>
                <w:lang w:val="en-US"/>
              </w:rPr>
              <w:t>123</w:t>
            </w:r>
            <w:r w:rsidR="0083134F">
              <w:rPr>
                <w:lang w:val="en-US"/>
              </w:rPr>
              <w:t>,</w:t>
            </w:r>
            <w:r w:rsidRPr="00480F72">
              <w:rPr>
                <w:lang w:val="en-US"/>
              </w:rPr>
              <w:t>612</w:t>
            </w:r>
          </w:p>
          <w:p w:rsidR="004127AB" w:rsidRPr="00480F72" w:rsidRDefault="001D171C" w:rsidP="004127AB">
            <w:pPr>
              <w:spacing w:after="40" w:line="360" w:lineRule="auto"/>
              <w:jc w:val="both"/>
              <w:rPr>
                <w:lang w:val="en-US"/>
              </w:rPr>
            </w:pPr>
            <w:r w:rsidRPr="00480F72">
              <w:rPr>
                <w:lang w:val="en-US"/>
              </w:rPr>
              <w:t>123</w:t>
            </w:r>
            <w:r w:rsidR="0083134F">
              <w:rPr>
                <w:lang w:val="en-US"/>
              </w:rPr>
              <w:t>,</w:t>
            </w:r>
            <w:r w:rsidRPr="00480F72">
              <w:rPr>
                <w:lang w:val="en-US"/>
              </w:rPr>
              <w:t>245</w:t>
            </w:r>
          </w:p>
          <w:p w:rsidR="004127AB" w:rsidRPr="00480F72" w:rsidRDefault="004127AB" w:rsidP="004127AB">
            <w:pPr>
              <w:spacing w:after="40" w:line="360" w:lineRule="auto"/>
              <w:jc w:val="both"/>
              <w:rPr>
                <w:highlight w:val="yellow"/>
                <w:lang w:val="en-US"/>
              </w:rPr>
            </w:pPr>
            <w:r w:rsidRPr="00480F72">
              <w:rPr>
                <w:lang w:val="en-US"/>
              </w:rPr>
              <w:t xml:space="preserve">  </w:t>
            </w:r>
            <w:r w:rsidR="001D171C" w:rsidRPr="00480F72">
              <w:rPr>
                <w:lang w:val="en-US"/>
              </w:rPr>
              <w:t>77</w:t>
            </w:r>
            <w:r w:rsidR="0083134F">
              <w:rPr>
                <w:lang w:val="en-US"/>
              </w:rPr>
              <w:t>,</w:t>
            </w:r>
            <w:r w:rsidR="001D171C" w:rsidRPr="00480F72">
              <w:rPr>
                <w:lang w:val="en-US"/>
              </w:rPr>
              <w:t>417</w:t>
            </w:r>
          </w:p>
          <w:p w:rsidR="004127AB" w:rsidRPr="00480F72" w:rsidRDefault="004127AB" w:rsidP="004127AB">
            <w:pPr>
              <w:spacing w:after="40" w:line="360" w:lineRule="auto"/>
              <w:jc w:val="both"/>
              <w:rPr>
                <w:lang w:val="en-US"/>
              </w:rPr>
            </w:pPr>
            <w:r w:rsidRPr="00480F72">
              <w:rPr>
                <w:lang w:val="en-US"/>
              </w:rPr>
              <w:t xml:space="preserve">  </w:t>
            </w:r>
            <w:r w:rsidR="001D171C" w:rsidRPr="00480F72">
              <w:rPr>
                <w:lang w:val="en-US"/>
              </w:rPr>
              <w:t>76</w:t>
            </w:r>
            <w:r w:rsidR="0083134F">
              <w:rPr>
                <w:lang w:val="en-US"/>
              </w:rPr>
              <w:t>,</w:t>
            </w:r>
            <w:r w:rsidR="001D171C" w:rsidRPr="00480F72">
              <w:rPr>
                <w:lang w:val="en-US"/>
              </w:rPr>
              <w:t>030</w:t>
            </w:r>
          </w:p>
          <w:p w:rsidR="004127AB" w:rsidRPr="00480F72" w:rsidRDefault="004127AB" w:rsidP="004127AB">
            <w:pPr>
              <w:spacing w:after="40" w:line="360" w:lineRule="auto"/>
              <w:jc w:val="both"/>
              <w:rPr>
                <w:lang w:val="en-US"/>
              </w:rPr>
            </w:pPr>
            <w:r w:rsidRPr="00480F72">
              <w:rPr>
                <w:lang w:val="en-US"/>
              </w:rPr>
              <w:t xml:space="preserve">  </w:t>
            </w:r>
            <w:r w:rsidR="005D5F29" w:rsidRPr="00480F72">
              <w:rPr>
                <w:lang w:val="en-US"/>
              </w:rPr>
              <w:t>53</w:t>
            </w:r>
            <w:r w:rsidR="0083134F">
              <w:rPr>
                <w:lang w:val="en-US"/>
              </w:rPr>
              <w:t>,</w:t>
            </w:r>
            <w:r w:rsidR="005D5F29" w:rsidRPr="00480F72">
              <w:rPr>
                <w:lang w:val="en-US"/>
              </w:rPr>
              <w:t>362</w:t>
            </w:r>
          </w:p>
          <w:p w:rsidR="004127AB" w:rsidRPr="00480F72" w:rsidRDefault="00B63BE5" w:rsidP="005D5F29">
            <w:pPr>
              <w:spacing w:after="40" w:line="360" w:lineRule="auto"/>
              <w:jc w:val="both"/>
              <w:rPr>
                <w:highlight w:val="yellow"/>
                <w:lang w:val="en-US"/>
              </w:rPr>
            </w:pPr>
            <w:r w:rsidRPr="00480F72">
              <w:rPr>
                <w:lang w:val="en-US"/>
              </w:rPr>
              <w:t xml:space="preserve">  </w:t>
            </w:r>
            <w:r w:rsidR="005D5F29" w:rsidRPr="00480F72">
              <w:rPr>
                <w:lang w:val="en-US"/>
              </w:rPr>
              <w:t>49</w:t>
            </w:r>
            <w:r w:rsidR="0083134F">
              <w:rPr>
                <w:lang w:val="en-US"/>
              </w:rPr>
              <w:t>,</w:t>
            </w:r>
            <w:r w:rsidR="005D5F29" w:rsidRPr="00480F72">
              <w:rPr>
                <w:lang w:val="en-US"/>
              </w:rPr>
              <w:t>557</w:t>
            </w:r>
          </w:p>
        </w:tc>
        <w:tc>
          <w:tcPr>
            <w:tcW w:w="869" w:type="dxa"/>
            <w:tcBorders>
              <w:top w:val="nil"/>
            </w:tcBorders>
          </w:tcPr>
          <w:p w:rsidR="004127AB" w:rsidRPr="00480F72" w:rsidRDefault="004127AB" w:rsidP="004127AB">
            <w:pPr>
              <w:spacing w:after="40" w:line="360" w:lineRule="auto"/>
              <w:jc w:val="both"/>
              <w:rPr>
                <w:lang w:val="en-US"/>
              </w:rPr>
            </w:pPr>
            <w:r w:rsidRPr="00480F72">
              <w:rPr>
                <w:lang w:val="en-US"/>
              </w:rPr>
              <w:t>2</w:t>
            </w:r>
            <w:r w:rsidR="00C55E02" w:rsidRPr="00480F72">
              <w:rPr>
                <w:lang w:val="en-US"/>
              </w:rPr>
              <w:t>3</w:t>
            </w:r>
            <w:r w:rsidR="0083134F">
              <w:rPr>
                <w:lang w:val="en-US"/>
              </w:rPr>
              <w:t>.</w:t>
            </w:r>
            <w:r w:rsidRPr="00480F72">
              <w:rPr>
                <w:lang w:val="en-US"/>
              </w:rPr>
              <w:t>5%</w:t>
            </w:r>
          </w:p>
          <w:p w:rsidR="004127AB" w:rsidRPr="00480F72" w:rsidRDefault="004127AB" w:rsidP="004127AB">
            <w:pPr>
              <w:spacing w:after="40" w:line="360" w:lineRule="auto"/>
              <w:jc w:val="both"/>
              <w:rPr>
                <w:lang w:val="en-US"/>
              </w:rPr>
            </w:pPr>
            <w:r w:rsidRPr="00480F72">
              <w:rPr>
                <w:lang w:val="en-US"/>
              </w:rPr>
              <w:t>19</w:t>
            </w:r>
            <w:r w:rsidR="0083134F">
              <w:rPr>
                <w:lang w:val="en-US"/>
              </w:rPr>
              <w:t>.</w:t>
            </w:r>
            <w:r w:rsidR="00C55E02" w:rsidRPr="00480F72">
              <w:rPr>
                <w:lang w:val="en-US"/>
              </w:rPr>
              <w:t>9</w:t>
            </w:r>
            <w:r w:rsidRPr="00480F72">
              <w:rPr>
                <w:lang w:val="en-US"/>
              </w:rPr>
              <w:t>%</w:t>
            </w:r>
          </w:p>
          <w:p w:rsidR="004127AB" w:rsidRPr="00480F72" w:rsidRDefault="004127AB" w:rsidP="004127AB">
            <w:pPr>
              <w:spacing w:after="40" w:line="360" w:lineRule="auto"/>
              <w:jc w:val="both"/>
              <w:rPr>
                <w:lang w:val="en-US"/>
              </w:rPr>
            </w:pPr>
            <w:r w:rsidRPr="00480F72">
              <w:rPr>
                <w:lang w:val="en-US"/>
              </w:rPr>
              <w:t xml:space="preserve">  8</w:t>
            </w:r>
            <w:r w:rsidR="0083134F">
              <w:rPr>
                <w:lang w:val="en-US"/>
              </w:rPr>
              <w:t>.</w:t>
            </w:r>
            <w:r w:rsidRPr="00480F72">
              <w:rPr>
                <w:lang w:val="en-US"/>
              </w:rPr>
              <w:t>3%</w:t>
            </w:r>
          </w:p>
          <w:p w:rsidR="004127AB" w:rsidRPr="00480F72" w:rsidRDefault="00C55E02" w:rsidP="004127AB">
            <w:pPr>
              <w:spacing w:after="40" w:line="360" w:lineRule="auto"/>
              <w:jc w:val="both"/>
              <w:rPr>
                <w:lang w:val="en-US"/>
              </w:rPr>
            </w:pPr>
            <w:r w:rsidRPr="00480F72">
              <w:rPr>
                <w:lang w:val="en-US"/>
              </w:rPr>
              <w:t xml:space="preserve">  4</w:t>
            </w:r>
            <w:r w:rsidR="0083134F">
              <w:rPr>
                <w:lang w:val="en-US"/>
              </w:rPr>
              <w:t>.</w:t>
            </w:r>
            <w:r w:rsidRPr="00480F72">
              <w:rPr>
                <w:lang w:val="en-US"/>
              </w:rPr>
              <w:t>2</w:t>
            </w:r>
            <w:r w:rsidR="004127AB" w:rsidRPr="00480F72">
              <w:rPr>
                <w:lang w:val="en-US"/>
              </w:rPr>
              <w:t>%</w:t>
            </w:r>
          </w:p>
          <w:p w:rsidR="004127AB" w:rsidRPr="00480F72" w:rsidRDefault="004127AB" w:rsidP="004127AB">
            <w:pPr>
              <w:spacing w:after="40" w:line="360" w:lineRule="auto"/>
              <w:jc w:val="both"/>
              <w:rPr>
                <w:lang w:val="en-US"/>
              </w:rPr>
            </w:pPr>
            <w:r w:rsidRPr="00480F72">
              <w:rPr>
                <w:lang w:val="en-US"/>
              </w:rPr>
              <w:t xml:space="preserve">  4</w:t>
            </w:r>
            <w:r w:rsidR="0083134F">
              <w:rPr>
                <w:lang w:val="en-US"/>
              </w:rPr>
              <w:t>.</w:t>
            </w:r>
            <w:r w:rsidRPr="00480F72">
              <w:rPr>
                <w:lang w:val="en-US"/>
              </w:rPr>
              <w:t>1%</w:t>
            </w:r>
          </w:p>
          <w:p w:rsidR="004127AB" w:rsidRPr="00480F72" w:rsidRDefault="00C55E02" w:rsidP="004127AB">
            <w:pPr>
              <w:spacing w:after="40" w:line="360" w:lineRule="auto"/>
              <w:jc w:val="both"/>
              <w:rPr>
                <w:lang w:val="en-US"/>
              </w:rPr>
            </w:pPr>
            <w:r w:rsidRPr="00480F72">
              <w:rPr>
                <w:lang w:val="en-US"/>
              </w:rPr>
              <w:t xml:space="preserve">  4</w:t>
            </w:r>
            <w:r w:rsidR="0083134F">
              <w:rPr>
                <w:lang w:val="en-US"/>
              </w:rPr>
              <w:t>.</w:t>
            </w:r>
            <w:r w:rsidRPr="00480F72">
              <w:rPr>
                <w:lang w:val="en-US"/>
              </w:rPr>
              <w:t>1</w:t>
            </w:r>
            <w:r w:rsidR="004127AB" w:rsidRPr="00480F72">
              <w:rPr>
                <w:lang w:val="en-US"/>
              </w:rPr>
              <w:t>%</w:t>
            </w:r>
          </w:p>
          <w:p w:rsidR="004127AB" w:rsidRPr="00480F72" w:rsidRDefault="00C55E02" w:rsidP="004127AB">
            <w:pPr>
              <w:spacing w:after="40" w:line="360" w:lineRule="auto"/>
              <w:jc w:val="both"/>
              <w:rPr>
                <w:lang w:val="en-US"/>
              </w:rPr>
            </w:pPr>
            <w:r w:rsidRPr="00480F72">
              <w:rPr>
                <w:lang w:val="en-US"/>
              </w:rPr>
              <w:t xml:space="preserve">  2</w:t>
            </w:r>
            <w:r w:rsidR="0083134F">
              <w:rPr>
                <w:lang w:val="en-US"/>
              </w:rPr>
              <w:t>.</w:t>
            </w:r>
            <w:r w:rsidRPr="00480F72">
              <w:rPr>
                <w:lang w:val="en-US"/>
              </w:rPr>
              <w:t>5</w:t>
            </w:r>
            <w:r w:rsidR="004127AB" w:rsidRPr="00480F72">
              <w:rPr>
                <w:lang w:val="en-US"/>
              </w:rPr>
              <w:t>%</w:t>
            </w:r>
          </w:p>
          <w:p w:rsidR="004127AB" w:rsidRPr="00480F72" w:rsidRDefault="00C55E02" w:rsidP="004127AB">
            <w:pPr>
              <w:spacing w:after="40" w:line="360" w:lineRule="auto"/>
              <w:jc w:val="both"/>
              <w:rPr>
                <w:lang w:val="en-US"/>
              </w:rPr>
            </w:pPr>
            <w:r w:rsidRPr="00480F72">
              <w:rPr>
                <w:lang w:val="en-US"/>
              </w:rPr>
              <w:t xml:space="preserve">  2</w:t>
            </w:r>
            <w:r w:rsidR="0083134F">
              <w:rPr>
                <w:lang w:val="en-US"/>
              </w:rPr>
              <w:t>.</w:t>
            </w:r>
            <w:r w:rsidRPr="00480F72">
              <w:rPr>
                <w:lang w:val="en-US"/>
              </w:rPr>
              <w:t>5</w:t>
            </w:r>
            <w:r w:rsidR="004127AB" w:rsidRPr="00480F72">
              <w:rPr>
                <w:lang w:val="en-US"/>
              </w:rPr>
              <w:t>%</w:t>
            </w:r>
          </w:p>
          <w:p w:rsidR="004127AB" w:rsidRPr="00480F72" w:rsidRDefault="00C55E02" w:rsidP="004127AB">
            <w:pPr>
              <w:spacing w:after="40" w:line="360" w:lineRule="auto"/>
              <w:jc w:val="both"/>
              <w:rPr>
                <w:lang w:val="en-US"/>
              </w:rPr>
            </w:pPr>
            <w:r w:rsidRPr="00480F72">
              <w:rPr>
                <w:lang w:val="en-US"/>
              </w:rPr>
              <w:t xml:space="preserve">  </w:t>
            </w:r>
            <w:r w:rsidR="005D5F29" w:rsidRPr="00480F72">
              <w:rPr>
                <w:lang w:val="en-US"/>
              </w:rPr>
              <w:t>1</w:t>
            </w:r>
            <w:r w:rsidR="0083134F">
              <w:rPr>
                <w:lang w:val="en-US"/>
              </w:rPr>
              <w:t>.</w:t>
            </w:r>
            <w:r w:rsidR="005D5F29" w:rsidRPr="00480F72">
              <w:rPr>
                <w:lang w:val="en-US"/>
              </w:rPr>
              <w:t>8</w:t>
            </w:r>
            <w:r w:rsidR="004127AB" w:rsidRPr="00480F72">
              <w:rPr>
                <w:lang w:val="en-US"/>
              </w:rPr>
              <w:t>%</w:t>
            </w:r>
          </w:p>
          <w:p w:rsidR="004127AB" w:rsidRPr="00480F72" w:rsidRDefault="005D5F29" w:rsidP="004127AB">
            <w:pPr>
              <w:spacing w:after="40" w:line="360" w:lineRule="auto"/>
              <w:jc w:val="both"/>
              <w:rPr>
                <w:highlight w:val="yellow"/>
                <w:lang w:val="en-US"/>
              </w:rPr>
            </w:pPr>
            <w:r w:rsidRPr="00480F72">
              <w:rPr>
                <w:lang w:val="en-US"/>
              </w:rPr>
              <w:t xml:space="preserve">  1</w:t>
            </w:r>
            <w:r w:rsidR="0083134F">
              <w:rPr>
                <w:lang w:val="en-US"/>
              </w:rPr>
              <w:t>.</w:t>
            </w:r>
            <w:r w:rsidRPr="00480F72">
              <w:rPr>
                <w:lang w:val="en-US"/>
              </w:rPr>
              <w:t>6</w:t>
            </w:r>
            <w:r w:rsidR="004127AB" w:rsidRPr="00480F72">
              <w:rPr>
                <w:lang w:val="en-US"/>
              </w:rPr>
              <w:t>%</w:t>
            </w:r>
          </w:p>
        </w:tc>
        <w:tc>
          <w:tcPr>
            <w:tcW w:w="2785" w:type="dxa"/>
            <w:tcBorders>
              <w:top w:val="nil"/>
            </w:tcBorders>
          </w:tcPr>
          <w:p w:rsidR="004127AB" w:rsidRPr="00480F72" w:rsidRDefault="004127AB" w:rsidP="004127AB">
            <w:pPr>
              <w:spacing w:after="40" w:line="360" w:lineRule="auto"/>
              <w:jc w:val="both"/>
              <w:rPr>
                <w:lang w:val="en-US"/>
              </w:rPr>
            </w:pPr>
            <w:r w:rsidRPr="00480F72">
              <w:rPr>
                <w:lang w:val="en-US"/>
              </w:rPr>
              <w:t xml:space="preserve">1. </w:t>
            </w:r>
            <w:r w:rsidR="0083134F">
              <w:rPr>
                <w:lang w:val="en-US"/>
              </w:rPr>
              <w:t>Austria</w:t>
            </w:r>
          </w:p>
          <w:p w:rsidR="004127AB" w:rsidRPr="00480F72" w:rsidRDefault="004127AB" w:rsidP="004127AB">
            <w:pPr>
              <w:spacing w:after="40" w:line="360" w:lineRule="auto"/>
              <w:jc w:val="both"/>
              <w:rPr>
                <w:lang w:val="en-US"/>
              </w:rPr>
            </w:pPr>
            <w:r w:rsidRPr="00480F72">
              <w:rPr>
                <w:lang w:val="en-US"/>
              </w:rPr>
              <w:t xml:space="preserve">2. </w:t>
            </w:r>
            <w:r w:rsidR="0083134F">
              <w:rPr>
                <w:lang w:val="en-US"/>
              </w:rPr>
              <w:t>Germany</w:t>
            </w:r>
          </w:p>
          <w:p w:rsidR="004127AB" w:rsidRPr="00480F72" w:rsidRDefault="004127AB" w:rsidP="004127AB">
            <w:pPr>
              <w:spacing w:after="40" w:line="360" w:lineRule="auto"/>
              <w:jc w:val="both"/>
              <w:rPr>
                <w:lang w:val="en-US"/>
              </w:rPr>
            </w:pPr>
            <w:r w:rsidRPr="00480F72">
              <w:rPr>
                <w:lang w:val="en-US"/>
              </w:rPr>
              <w:t>3. USA</w:t>
            </w:r>
          </w:p>
          <w:p w:rsidR="004127AB" w:rsidRPr="00480F72" w:rsidRDefault="004127AB" w:rsidP="004127AB">
            <w:pPr>
              <w:spacing w:after="40" w:line="360" w:lineRule="auto"/>
              <w:jc w:val="both"/>
              <w:rPr>
                <w:lang w:val="en-US"/>
              </w:rPr>
            </w:pPr>
            <w:r w:rsidRPr="00480F72">
              <w:rPr>
                <w:lang w:val="en-US"/>
              </w:rPr>
              <w:t xml:space="preserve">4. </w:t>
            </w:r>
            <w:r w:rsidR="0083134F">
              <w:rPr>
                <w:lang w:val="en-US"/>
              </w:rPr>
              <w:t>Italy</w:t>
            </w:r>
          </w:p>
          <w:p w:rsidR="004127AB" w:rsidRPr="00480F72" w:rsidRDefault="004127AB" w:rsidP="004127AB">
            <w:pPr>
              <w:spacing w:after="40" w:line="360" w:lineRule="auto"/>
              <w:jc w:val="both"/>
              <w:rPr>
                <w:lang w:val="en-US"/>
              </w:rPr>
            </w:pPr>
            <w:r w:rsidRPr="00480F72">
              <w:rPr>
                <w:lang w:val="en-US"/>
              </w:rPr>
              <w:t xml:space="preserve">5. </w:t>
            </w:r>
            <w:r w:rsidR="0083134F">
              <w:rPr>
                <w:lang w:val="en-US"/>
              </w:rPr>
              <w:t>Great Britain</w:t>
            </w:r>
          </w:p>
          <w:p w:rsidR="004127AB" w:rsidRPr="00480F72" w:rsidRDefault="004127AB" w:rsidP="004127AB">
            <w:pPr>
              <w:spacing w:after="40" w:line="360" w:lineRule="auto"/>
              <w:jc w:val="both"/>
              <w:rPr>
                <w:lang w:val="en-US"/>
              </w:rPr>
            </w:pPr>
            <w:r w:rsidRPr="00480F72">
              <w:rPr>
                <w:lang w:val="en-US"/>
              </w:rPr>
              <w:t xml:space="preserve">6. China </w:t>
            </w:r>
          </w:p>
          <w:p w:rsidR="004127AB" w:rsidRPr="00480F72" w:rsidRDefault="004127AB" w:rsidP="004127AB">
            <w:pPr>
              <w:spacing w:after="40" w:line="360" w:lineRule="auto"/>
              <w:jc w:val="both"/>
              <w:rPr>
                <w:lang w:val="en-US"/>
              </w:rPr>
            </w:pPr>
            <w:r w:rsidRPr="00480F72">
              <w:rPr>
                <w:lang w:val="en-US"/>
              </w:rPr>
              <w:t xml:space="preserve">7. </w:t>
            </w:r>
            <w:r w:rsidR="0083134F">
              <w:rPr>
                <w:lang w:val="en-US"/>
              </w:rPr>
              <w:t>Switzerland</w:t>
            </w:r>
          </w:p>
          <w:p w:rsidR="004127AB" w:rsidRPr="00480F72" w:rsidRDefault="004127AB" w:rsidP="004127AB">
            <w:pPr>
              <w:spacing w:after="40" w:line="360" w:lineRule="auto"/>
              <w:jc w:val="both"/>
              <w:rPr>
                <w:lang w:val="en-US"/>
              </w:rPr>
            </w:pPr>
            <w:r w:rsidRPr="00480F72">
              <w:rPr>
                <w:lang w:val="en-US"/>
              </w:rPr>
              <w:t xml:space="preserve">8. </w:t>
            </w:r>
            <w:r w:rsidR="0083134F">
              <w:rPr>
                <w:lang w:val="en-US"/>
              </w:rPr>
              <w:t>South Korea</w:t>
            </w:r>
          </w:p>
          <w:p w:rsidR="004127AB" w:rsidRPr="00480F72" w:rsidRDefault="004127AB" w:rsidP="004127AB">
            <w:pPr>
              <w:spacing w:after="40" w:line="360" w:lineRule="auto"/>
              <w:jc w:val="both"/>
              <w:rPr>
                <w:lang w:val="en-US"/>
              </w:rPr>
            </w:pPr>
            <w:r w:rsidRPr="00480F72">
              <w:rPr>
                <w:lang w:val="en-US"/>
              </w:rPr>
              <w:t xml:space="preserve">9. </w:t>
            </w:r>
            <w:r w:rsidR="0083134F">
              <w:rPr>
                <w:lang w:val="en-US"/>
              </w:rPr>
              <w:t>Australia</w:t>
            </w:r>
          </w:p>
          <w:p w:rsidR="004127AB" w:rsidRPr="00480F72" w:rsidRDefault="004127AB" w:rsidP="005D5F29">
            <w:pPr>
              <w:spacing w:after="40" w:line="360" w:lineRule="auto"/>
              <w:jc w:val="both"/>
              <w:rPr>
                <w:lang w:val="en-US"/>
              </w:rPr>
            </w:pPr>
            <w:r w:rsidRPr="00480F72">
              <w:rPr>
                <w:lang w:val="en-US"/>
              </w:rPr>
              <w:t xml:space="preserve">10. </w:t>
            </w:r>
            <w:r w:rsidR="0083134F">
              <w:rPr>
                <w:lang w:val="en-US"/>
              </w:rPr>
              <w:t>Spain</w:t>
            </w:r>
          </w:p>
        </w:tc>
        <w:tc>
          <w:tcPr>
            <w:tcW w:w="1043" w:type="dxa"/>
            <w:tcBorders>
              <w:top w:val="nil"/>
            </w:tcBorders>
          </w:tcPr>
          <w:p w:rsidR="004127AB" w:rsidRPr="00480F72" w:rsidRDefault="004127AB" w:rsidP="004127AB">
            <w:pPr>
              <w:spacing w:after="40" w:line="360" w:lineRule="auto"/>
              <w:jc w:val="both"/>
              <w:rPr>
                <w:lang w:val="en-US"/>
              </w:rPr>
            </w:pPr>
            <w:r w:rsidRPr="00480F72">
              <w:rPr>
                <w:lang w:val="en-US"/>
              </w:rPr>
              <w:t>694</w:t>
            </w:r>
            <w:r w:rsidR="0083134F">
              <w:rPr>
                <w:lang w:val="en-US"/>
              </w:rPr>
              <w:t>,</w:t>
            </w:r>
            <w:r w:rsidRPr="00480F72">
              <w:rPr>
                <w:lang w:val="en-US"/>
              </w:rPr>
              <w:t xml:space="preserve">235 </w:t>
            </w:r>
          </w:p>
          <w:p w:rsidR="004127AB" w:rsidRPr="00480F72" w:rsidRDefault="004127AB" w:rsidP="004127AB">
            <w:pPr>
              <w:spacing w:after="40" w:line="360" w:lineRule="auto"/>
              <w:jc w:val="both"/>
              <w:rPr>
                <w:lang w:val="en-US"/>
              </w:rPr>
            </w:pPr>
            <w:r w:rsidRPr="00480F72">
              <w:rPr>
                <w:lang w:val="en-US"/>
              </w:rPr>
              <w:t>555</w:t>
            </w:r>
            <w:r w:rsidR="0083134F">
              <w:rPr>
                <w:lang w:val="en-US"/>
              </w:rPr>
              <w:t>,</w:t>
            </w:r>
            <w:r w:rsidRPr="00480F72">
              <w:rPr>
                <w:lang w:val="en-US"/>
              </w:rPr>
              <w:t>956</w:t>
            </w:r>
          </w:p>
          <w:p w:rsidR="004127AB" w:rsidRPr="00480F72" w:rsidRDefault="004127AB" w:rsidP="004127AB">
            <w:pPr>
              <w:spacing w:after="40" w:line="360" w:lineRule="auto"/>
              <w:jc w:val="both"/>
              <w:rPr>
                <w:lang w:val="en-US"/>
              </w:rPr>
            </w:pPr>
            <w:r w:rsidRPr="00480F72">
              <w:rPr>
                <w:lang w:val="en-US"/>
              </w:rPr>
              <w:t>233</w:t>
            </w:r>
            <w:r w:rsidR="0083134F">
              <w:rPr>
                <w:lang w:val="en-US"/>
              </w:rPr>
              <w:t>,</w:t>
            </w:r>
            <w:r w:rsidRPr="00480F72">
              <w:rPr>
                <w:lang w:val="en-US"/>
              </w:rPr>
              <w:t>911</w:t>
            </w:r>
          </w:p>
          <w:p w:rsidR="004127AB" w:rsidRPr="00480F72" w:rsidRDefault="004127AB" w:rsidP="004127AB">
            <w:pPr>
              <w:spacing w:after="40" w:line="360" w:lineRule="auto"/>
              <w:jc w:val="both"/>
              <w:rPr>
                <w:lang w:val="en-US"/>
              </w:rPr>
            </w:pPr>
            <w:r w:rsidRPr="00480F72">
              <w:rPr>
                <w:lang w:val="en-US"/>
              </w:rPr>
              <w:t>122</w:t>
            </w:r>
            <w:r w:rsidR="0083134F">
              <w:rPr>
                <w:lang w:val="en-US"/>
              </w:rPr>
              <w:t>,</w:t>
            </w:r>
            <w:r w:rsidRPr="00480F72">
              <w:rPr>
                <w:lang w:val="en-US"/>
              </w:rPr>
              <w:t xml:space="preserve">544 </w:t>
            </w:r>
          </w:p>
          <w:p w:rsidR="004127AB" w:rsidRPr="00480F72" w:rsidRDefault="004127AB" w:rsidP="004127AB">
            <w:pPr>
              <w:spacing w:after="40" w:line="360" w:lineRule="auto"/>
              <w:jc w:val="both"/>
              <w:rPr>
                <w:lang w:val="en-US"/>
              </w:rPr>
            </w:pPr>
            <w:r w:rsidRPr="00480F72">
              <w:rPr>
                <w:lang w:val="en-US"/>
              </w:rPr>
              <w:t>115</w:t>
            </w:r>
            <w:r w:rsidR="0083134F">
              <w:rPr>
                <w:lang w:val="en-US"/>
              </w:rPr>
              <w:t>,</w:t>
            </w:r>
            <w:r w:rsidRPr="00480F72">
              <w:rPr>
                <w:lang w:val="en-US"/>
              </w:rPr>
              <w:t>815</w:t>
            </w:r>
          </w:p>
          <w:p w:rsidR="004127AB" w:rsidRPr="00480F72" w:rsidRDefault="004127AB" w:rsidP="004127AB">
            <w:pPr>
              <w:spacing w:after="40" w:line="360" w:lineRule="auto"/>
              <w:jc w:val="both"/>
              <w:rPr>
                <w:lang w:val="en-US"/>
              </w:rPr>
            </w:pPr>
            <w:r w:rsidRPr="00480F72">
              <w:rPr>
                <w:lang w:val="en-US"/>
              </w:rPr>
              <w:t>110</w:t>
            </w:r>
            <w:r w:rsidR="0083134F">
              <w:rPr>
                <w:lang w:val="en-US"/>
              </w:rPr>
              <w:t>,</w:t>
            </w:r>
            <w:r w:rsidRPr="00480F72">
              <w:rPr>
                <w:lang w:val="en-US"/>
              </w:rPr>
              <w:t xml:space="preserve">642 </w:t>
            </w:r>
          </w:p>
          <w:p w:rsidR="004127AB" w:rsidRPr="00480F72" w:rsidRDefault="004127AB" w:rsidP="004127AB">
            <w:pPr>
              <w:spacing w:after="40" w:line="360" w:lineRule="auto"/>
              <w:jc w:val="both"/>
              <w:rPr>
                <w:lang w:val="en-US"/>
              </w:rPr>
            </w:pPr>
            <w:r w:rsidRPr="00480F72">
              <w:rPr>
                <w:lang w:val="en-US"/>
              </w:rPr>
              <w:t xml:space="preserve">  78</w:t>
            </w:r>
            <w:r w:rsidR="0083134F">
              <w:rPr>
                <w:lang w:val="en-US"/>
              </w:rPr>
              <w:t>,</w:t>
            </w:r>
            <w:r w:rsidRPr="00480F72">
              <w:rPr>
                <w:lang w:val="en-US"/>
              </w:rPr>
              <w:t>723</w:t>
            </w:r>
          </w:p>
          <w:p w:rsidR="004127AB" w:rsidRPr="00480F72" w:rsidRDefault="004127AB" w:rsidP="004127AB">
            <w:pPr>
              <w:spacing w:after="40" w:line="360" w:lineRule="auto"/>
              <w:jc w:val="both"/>
              <w:rPr>
                <w:lang w:val="en-US"/>
              </w:rPr>
            </w:pPr>
            <w:r w:rsidRPr="00480F72">
              <w:rPr>
                <w:lang w:val="en-US"/>
              </w:rPr>
              <w:t xml:space="preserve">  75</w:t>
            </w:r>
            <w:r w:rsidR="0083134F">
              <w:rPr>
                <w:lang w:val="en-US"/>
              </w:rPr>
              <w:t>,</w:t>
            </w:r>
            <w:r w:rsidRPr="00480F72">
              <w:rPr>
                <w:lang w:val="en-US"/>
              </w:rPr>
              <w:t>946</w:t>
            </w:r>
          </w:p>
          <w:p w:rsidR="004127AB" w:rsidRPr="00480F72" w:rsidRDefault="004127AB" w:rsidP="004127AB">
            <w:pPr>
              <w:spacing w:after="40" w:line="360" w:lineRule="auto"/>
              <w:jc w:val="both"/>
              <w:rPr>
                <w:lang w:val="en-US"/>
              </w:rPr>
            </w:pPr>
            <w:r w:rsidRPr="00480F72">
              <w:rPr>
                <w:lang w:val="en-US"/>
              </w:rPr>
              <w:t xml:space="preserve">  </w:t>
            </w:r>
            <w:r w:rsidR="005D5F29" w:rsidRPr="00480F72">
              <w:rPr>
                <w:lang w:val="en-US"/>
              </w:rPr>
              <w:t>50</w:t>
            </w:r>
            <w:r w:rsidR="0083134F">
              <w:rPr>
                <w:lang w:val="en-US"/>
              </w:rPr>
              <w:t>,</w:t>
            </w:r>
            <w:r w:rsidR="005D5F29" w:rsidRPr="00480F72">
              <w:rPr>
                <w:lang w:val="en-US"/>
              </w:rPr>
              <w:t>865</w:t>
            </w:r>
          </w:p>
          <w:p w:rsidR="004127AB" w:rsidRPr="00480F72" w:rsidRDefault="004127AB" w:rsidP="005D5F29">
            <w:pPr>
              <w:spacing w:after="40" w:line="360" w:lineRule="auto"/>
              <w:jc w:val="both"/>
              <w:rPr>
                <w:lang w:val="en-US"/>
              </w:rPr>
            </w:pPr>
            <w:r w:rsidRPr="00480F72">
              <w:rPr>
                <w:lang w:val="en-US"/>
              </w:rPr>
              <w:t xml:space="preserve">  </w:t>
            </w:r>
            <w:r w:rsidR="005D5F29" w:rsidRPr="00480F72">
              <w:rPr>
                <w:lang w:val="en-US"/>
              </w:rPr>
              <w:t>47</w:t>
            </w:r>
            <w:r w:rsidR="0083134F">
              <w:rPr>
                <w:lang w:val="en-US"/>
              </w:rPr>
              <w:t>,</w:t>
            </w:r>
            <w:r w:rsidR="005D5F29" w:rsidRPr="00480F72">
              <w:rPr>
                <w:lang w:val="en-US"/>
              </w:rPr>
              <w:t>724</w:t>
            </w:r>
          </w:p>
        </w:tc>
        <w:tc>
          <w:tcPr>
            <w:tcW w:w="869" w:type="dxa"/>
            <w:tcBorders>
              <w:top w:val="nil"/>
            </w:tcBorders>
          </w:tcPr>
          <w:p w:rsidR="004127AB" w:rsidRPr="00480F72" w:rsidRDefault="004127AB" w:rsidP="004127AB">
            <w:pPr>
              <w:spacing w:after="40" w:line="360" w:lineRule="auto"/>
              <w:jc w:val="both"/>
              <w:rPr>
                <w:lang w:val="en-US"/>
              </w:rPr>
            </w:pPr>
            <w:r w:rsidRPr="00480F72">
              <w:rPr>
                <w:lang w:val="en-US"/>
              </w:rPr>
              <w:t>24</w:t>
            </w:r>
            <w:r w:rsidR="0083134F">
              <w:rPr>
                <w:lang w:val="en-US"/>
              </w:rPr>
              <w:t>.</w:t>
            </w:r>
            <w:r w:rsidRPr="00480F72">
              <w:rPr>
                <w:lang w:val="en-US"/>
              </w:rPr>
              <w:t>5%</w:t>
            </w:r>
          </w:p>
          <w:p w:rsidR="004127AB" w:rsidRPr="00480F72" w:rsidRDefault="004127AB" w:rsidP="004127AB">
            <w:pPr>
              <w:spacing w:after="40" w:line="360" w:lineRule="auto"/>
              <w:jc w:val="both"/>
              <w:rPr>
                <w:lang w:val="en-US"/>
              </w:rPr>
            </w:pPr>
            <w:r w:rsidRPr="00480F72">
              <w:rPr>
                <w:lang w:val="en-US"/>
              </w:rPr>
              <w:t>19</w:t>
            </w:r>
            <w:r w:rsidR="0083134F">
              <w:rPr>
                <w:lang w:val="en-US"/>
              </w:rPr>
              <w:t>.</w:t>
            </w:r>
            <w:r w:rsidRPr="00480F72">
              <w:rPr>
                <w:lang w:val="en-US"/>
              </w:rPr>
              <w:t>7%</w:t>
            </w:r>
          </w:p>
          <w:p w:rsidR="004127AB" w:rsidRPr="00480F72" w:rsidRDefault="004127AB" w:rsidP="004127AB">
            <w:pPr>
              <w:spacing w:after="40" w:line="360" w:lineRule="auto"/>
              <w:jc w:val="both"/>
              <w:rPr>
                <w:lang w:val="en-US"/>
              </w:rPr>
            </w:pPr>
            <w:r w:rsidRPr="00480F72">
              <w:rPr>
                <w:lang w:val="en-US"/>
              </w:rPr>
              <w:t xml:space="preserve">  8</w:t>
            </w:r>
            <w:r w:rsidR="0083134F">
              <w:rPr>
                <w:lang w:val="en-US"/>
              </w:rPr>
              <w:t>.</w:t>
            </w:r>
            <w:r w:rsidRPr="00480F72">
              <w:rPr>
                <w:lang w:val="en-US"/>
              </w:rPr>
              <w:t>3%</w:t>
            </w:r>
          </w:p>
          <w:p w:rsidR="004127AB" w:rsidRPr="00480F72" w:rsidRDefault="004127AB" w:rsidP="004127AB">
            <w:pPr>
              <w:spacing w:after="40" w:line="360" w:lineRule="auto"/>
              <w:jc w:val="both"/>
              <w:rPr>
                <w:lang w:val="en-US"/>
              </w:rPr>
            </w:pPr>
            <w:r w:rsidRPr="00480F72">
              <w:rPr>
                <w:lang w:val="en-US"/>
              </w:rPr>
              <w:t xml:space="preserve">  4</w:t>
            </w:r>
            <w:r w:rsidR="0083134F">
              <w:rPr>
                <w:lang w:val="en-US"/>
              </w:rPr>
              <w:t>.</w:t>
            </w:r>
            <w:r w:rsidRPr="00480F72">
              <w:rPr>
                <w:lang w:val="en-US"/>
              </w:rPr>
              <w:t>3%</w:t>
            </w:r>
          </w:p>
          <w:p w:rsidR="004127AB" w:rsidRPr="00480F72" w:rsidRDefault="004127AB" w:rsidP="004127AB">
            <w:pPr>
              <w:spacing w:after="40" w:line="360" w:lineRule="auto"/>
              <w:jc w:val="both"/>
              <w:rPr>
                <w:lang w:val="en-US"/>
              </w:rPr>
            </w:pPr>
            <w:r w:rsidRPr="00480F72">
              <w:rPr>
                <w:lang w:val="en-US"/>
              </w:rPr>
              <w:t xml:space="preserve">  4</w:t>
            </w:r>
            <w:r w:rsidR="0083134F">
              <w:rPr>
                <w:lang w:val="en-US"/>
              </w:rPr>
              <w:t>.</w:t>
            </w:r>
            <w:r w:rsidRPr="00480F72">
              <w:rPr>
                <w:lang w:val="en-US"/>
              </w:rPr>
              <w:t>1%</w:t>
            </w:r>
          </w:p>
          <w:p w:rsidR="004127AB" w:rsidRPr="00480F72" w:rsidRDefault="004127AB" w:rsidP="004127AB">
            <w:pPr>
              <w:spacing w:after="40" w:line="360" w:lineRule="auto"/>
              <w:jc w:val="both"/>
              <w:rPr>
                <w:lang w:val="en-US"/>
              </w:rPr>
            </w:pPr>
            <w:r w:rsidRPr="00480F72">
              <w:rPr>
                <w:lang w:val="en-US"/>
              </w:rPr>
              <w:t xml:space="preserve">  3</w:t>
            </w:r>
            <w:r w:rsidR="0083134F">
              <w:rPr>
                <w:lang w:val="en-US"/>
              </w:rPr>
              <w:t>.</w:t>
            </w:r>
            <w:r w:rsidRPr="00480F72">
              <w:rPr>
                <w:lang w:val="en-US"/>
              </w:rPr>
              <w:t>9%</w:t>
            </w:r>
          </w:p>
          <w:p w:rsidR="004127AB" w:rsidRPr="00480F72" w:rsidRDefault="004127AB" w:rsidP="004127AB">
            <w:pPr>
              <w:spacing w:after="40" w:line="360" w:lineRule="auto"/>
              <w:jc w:val="both"/>
              <w:rPr>
                <w:lang w:val="en-US"/>
              </w:rPr>
            </w:pPr>
            <w:r w:rsidRPr="00480F72">
              <w:rPr>
                <w:lang w:val="en-US"/>
              </w:rPr>
              <w:t xml:space="preserve">  2</w:t>
            </w:r>
            <w:r w:rsidR="0083134F">
              <w:rPr>
                <w:lang w:val="en-US"/>
              </w:rPr>
              <w:t>.</w:t>
            </w:r>
            <w:r w:rsidRPr="00480F72">
              <w:rPr>
                <w:lang w:val="en-US"/>
              </w:rPr>
              <w:t>8%</w:t>
            </w:r>
          </w:p>
          <w:p w:rsidR="004127AB" w:rsidRPr="00480F72" w:rsidRDefault="004127AB" w:rsidP="004127AB">
            <w:pPr>
              <w:spacing w:after="40" w:line="360" w:lineRule="auto"/>
              <w:jc w:val="both"/>
              <w:rPr>
                <w:lang w:val="en-US"/>
              </w:rPr>
            </w:pPr>
            <w:r w:rsidRPr="00480F72">
              <w:rPr>
                <w:lang w:val="en-US"/>
              </w:rPr>
              <w:t xml:space="preserve">  2</w:t>
            </w:r>
            <w:r w:rsidR="0083134F">
              <w:rPr>
                <w:lang w:val="en-US"/>
              </w:rPr>
              <w:t>.</w:t>
            </w:r>
            <w:r w:rsidRPr="00480F72">
              <w:rPr>
                <w:lang w:val="en-US"/>
              </w:rPr>
              <w:t>7%</w:t>
            </w:r>
          </w:p>
          <w:p w:rsidR="004127AB" w:rsidRPr="00480F72" w:rsidRDefault="005D5F29" w:rsidP="004127AB">
            <w:pPr>
              <w:spacing w:after="40" w:line="360" w:lineRule="auto"/>
              <w:jc w:val="both"/>
              <w:rPr>
                <w:lang w:val="en-US"/>
              </w:rPr>
            </w:pPr>
            <w:r w:rsidRPr="00480F72">
              <w:rPr>
                <w:lang w:val="en-US"/>
              </w:rPr>
              <w:t xml:space="preserve">  1</w:t>
            </w:r>
            <w:r w:rsidR="0083134F">
              <w:rPr>
                <w:lang w:val="en-US"/>
              </w:rPr>
              <w:t>.</w:t>
            </w:r>
            <w:r w:rsidRPr="00480F72">
              <w:rPr>
                <w:lang w:val="en-US"/>
              </w:rPr>
              <w:t>8</w:t>
            </w:r>
            <w:r w:rsidR="004127AB" w:rsidRPr="00480F72">
              <w:rPr>
                <w:lang w:val="en-US"/>
              </w:rPr>
              <w:t>%</w:t>
            </w:r>
          </w:p>
          <w:p w:rsidR="004127AB" w:rsidRPr="00480F72" w:rsidRDefault="004127AB" w:rsidP="00C12851">
            <w:pPr>
              <w:spacing w:after="40" w:line="360" w:lineRule="auto"/>
              <w:jc w:val="both"/>
              <w:rPr>
                <w:lang w:val="en-US"/>
              </w:rPr>
            </w:pPr>
            <w:r w:rsidRPr="00480F72">
              <w:rPr>
                <w:lang w:val="en-US"/>
              </w:rPr>
              <w:t xml:space="preserve">  </w:t>
            </w:r>
            <w:r w:rsidR="005D5F29" w:rsidRPr="00480F72">
              <w:rPr>
                <w:lang w:val="en-US"/>
              </w:rPr>
              <w:t>1</w:t>
            </w:r>
            <w:r w:rsidR="0083134F">
              <w:rPr>
                <w:lang w:val="en-US"/>
              </w:rPr>
              <w:t>.</w:t>
            </w:r>
            <w:r w:rsidR="00C12851" w:rsidRPr="00480F72">
              <w:rPr>
                <w:lang w:val="en-US"/>
              </w:rPr>
              <w:t>7</w:t>
            </w:r>
            <w:r w:rsidRPr="00480F72">
              <w:rPr>
                <w:lang w:val="en-US"/>
              </w:rPr>
              <w:t>%</w:t>
            </w:r>
          </w:p>
        </w:tc>
      </w:tr>
    </w:tbl>
    <w:p w:rsidR="000719FD" w:rsidRPr="00480F72" w:rsidRDefault="000719FD" w:rsidP="003A1318">
      <w:pPr>
        <w:jc w:val="both"/>
        <w:outlineLvl w:val="0"/>
        <w:rPr>
          <w:b/>
          <w:lang w:val="en-US"/>
        </w:rPr>
      </w:pPr>
    </w:p>
    <w:p w:rsidR="000719FD" w:rsidRPr="00480F72" w:rsidRDefault="0083134F" w:rsidP="003A1318">
      <w:pPr>
        <w:jc w:val="both"/>
        <w:outlineLvl w:val="0"/>
        <w:rPr>
          <w:b/>
          <w:lang w:val="en-US"/>
        </w:rPr>
      </w:pPr>
      <w:r>
        <w:rPr>
          <w:b/>
          <w:lang w:val="en-US"/>
        </w:rPr>
        <w:t xml:space="preserve">Lodging Selection </w:t>
      </w:r>
    </w:p>
    <w:p w:rsidR="000719FD" w:rsidRDefault="000719FD" w:rsidP="003A1318">
      <w:pPr>
        <w:jc w:val="both"/>
        <w:outlineLvl w:val="0"/>
        <w:rPr>
          <w:lang w:val="en-US"/>
        </w:rPr>
      </w:pPr>
      <w:r w:rsidRPr="00480F72">
        <w:rPr>
          <w:lang w:val="en-US"/>
        </w:rPr>
        <w:t xml:space="preserve">In </w:t>
      </w:r>
      <w:r w:rsidR="0083134F">
        <w:rPr>
          <w:lang w:val="en-US"/>
        </w:rPr>
        <w:t xml:space="preserve">the provincial capital of Salzburg, as of 31 December 2017 there were 121 </w:t>
      </w:r>
      <w:r w:rsidR="004127AB" w:rsidRPr="00480F72">
        <w:rPr>
          <w:lang w:val="en-US"/>
        </w:rPr>
        <w:t>(2016: 121</w:t>
      </w:r>
      <w:r w:rsidR="009B05CC" w:rsidRPr="00480F72">
        <w:rPr>
          <w:lang w:val="en-US"/>
        </w:rPr>
        <w:t>)</w:t>
      </w:r>
      <w:r w:rsidR="0083134F">
        <w:rPr>
          <w:lang w:val="en-US"/>
        </w:rPr>
        <w:t xml:space="preserve"> commercially operated lodging establishments available </w:t>
      </w:r>
      <w:r w:rsidR="00681F61">
        <w:rPr>
          <w:lang w:val="en-US"/>
        </w:rPr>
        <w:t xml:space="preserve">to guests </w:t>
      </w:r>
      <w:r w:rsidR="0083134F">
        <w:rPr>
          <w:lang w:val="en-US"/>
        </w:rPr>
        <w:t xml:space="preserve">(categorized hotels, inns and guesthouses), </w:t>
      </w:r>
      <w:r w:rsidR="00681F61">
        <w:rPr>
          <w:lang w:val="en-US"/>
        </w:rPr>
        <w:t>offering</w:t>
      </w:r>
      <w:r w:rsidR="0083134F">
        <w:rPr>
          <w:lang w:val="en-US"/>
        </w:rPr>
        <w:t xml:space="preserve"> 101 beds per business on average. This number has increased steadily in recent years. Just </w:t>
      </w:r>
      <w:r w:rsidR="00290BE5">
        <w:rPr>
          <w:lang w:val="en-US"/>
        </w:rPr>
        <w:t>ten</w:t>
      </w:r>
      <w:r w:rsidR="0083134F">
        <w:rPr>
          <w:lang w:val="en-US"/>
        </w:rPr>
        <w:t xml:space="preserve"> years ago (2007), there were only 76 beds on average per hotel, whereas </w:t>
      </w:r>
      <w:r w:rsidR="00290BE5">
        <w:rPr>
          <w:lang w:val="en-US"/>
        </w:rPr>
        <w:t>twenty</w:t>
      </w:r>
      <w:r w:rsidR="0083134F">
        <w:rPr>
          <w:lang w:val="en-US"/>
        </w:rPr>
        <w:t xml:space="preserve"> years ago </w:t>
      </w:r>
      <w:r w:rsidR="00D458CC" w:rsidRPr="00480F72">
        <w:rPr>
          <w:lang w:val="en-US"/>
        </w:rPr>
        <w:t>(1997)</w:t>
      </w:r>
      <w:r w:rsidR="0083134F">
        <w:rPr>
          <w:lang w:val="en-US"/>
        </w:rPr>
        <w:t xml:space="preserve"> that figure was around </w:t>
      </w:r>
      <w:r w:rsidR="00D458CC" w:rsidRPr="00480F72">
        <w:rPr>
          <w:lang w:val="en-US"/>
        </w:rPr>
        <w:t>66.</w:t>
      </w:r>
    </w:p>
    <w:p w:rsidR="001C6E9D" w:rsidRPr="00480F72" w:rsidRDefault="001C6E9D" w:rsidP="003A1318">
      <w:pPr>
        <w:jc w:val="both"/>
        <w:outlineLvl w:val="0"/>
        <w:rPr>
          <w:lang w:val="en-US"/>
        </w:rPr>
      </w:pPr>
    </w:p>
    <w:p w:rsidR="000719FD" w:rsidRDefault="00F62431" w:rsidP="003A1318">
      <w:pPr>
        <w:jc w:val="both"/>
        <w:outlineLvl w:val="0"/>
        <w:rPr>
          <w:lang w:val="en-US"/>
        </w:rPr>
      </w:pPr>
      <w:r>
        <w:rPr>
          <w:lang w:val="en-US"/>
        </w:rPr>
        <w:t>Divided according to quality classification, these figures break down as follows</w:t>
      </w:r>
      <w:r w:rsidR="0037724E" w:rsidRPr="00480F72">
        <w:rPr>
          <w:lang w:val="en-US"/>
        </w:rPr>
        <w:t>: 5 (2016</w:t>
      </w:r>
      <w:r w:rsidR="000719FD" w:rsidRPr="00480F72">
        <w:rPr>
          <w:lang w:val="en-US"/>
        </w:rPr>
        <w:t>: 6)</w:t>
      </w:r>
      <w:r>
        <w:rPr>
          <w:lang w:val="en-US"/>
        </w:rPr>
        <w:t xml:space="preserve"> five-star businesses with </w:t>
      </w:r>
      <w:r w:rsidR="0037724E" w:rsidRPr="00480F72">
        <w:rPr>
          <w:lang w:val="en-US"/>
        </w:rPr>
        <w:t>932 (2016</w:t>
      </w:r>
      <w:r w:rsidR="000719FD" w:rsidRPr="00480F72">
        <w:rPr>
          <w:lang w:val="en-US"/>
        </w:rPr>
        <w:t xml:space="preserve">: </w:t>
      </w:r>
      <w:r w:rsidR="0037724E" w:rsidRPr="00480F72">
        <w:rPr>
          <w:lang w:val="en-US"/>
        </w:rPr>
        <w:t xml:space="preserve">1015) </w:t>
      </w:r>
      <w:r>
        <w:rPr>
          <w:lang w:val="en-US"/>
        </w:rPr>
        <w:t>beds</w:t>
      </w:r>
      <w:r w:rsidR="0037724E" w:rsidRPr="00480F72">
        <w:rPr>
          <w:lang w:val="en-US"/>
        </w:rPr>
        <w:t>, 47 (2016</w:t>
      </w:r>
      <w:r w:rsidR="000719FD" w:rsidRPr="00480F72">
        <w:rPr>
          <w:lang w:val="en-US"/>
        </w:rPr>
        <w:t xml:space="preserve">: </w:t>
      </w:r>
      <w:r w:rsidR="0037724E" w:rsidRPr="00480F72">
        <w:rPr>
          <w:lang w:val="en-US"/>
        </w:rPr>
        <w:t>46</w:t>
      </w:r>
      <w:r w:rsidR="000719FD" w:rsidRPr="00480F72">
        <w:rPr>
          <w:lang w:val="en-US"/>
        </w:rPr>
        <w:t>)</w:t>
      </w:r>
      <w:r>
        <w:rPr>
          <w:lang w:val="en-US"/>
        </w:rPr>
        <w:t xml:space="preserve"> four-star businesses with </w:t>
      </w:r>
      <w:r w:rsidR="0037724E" w:rsidRPr="00480F72">
        <w:rPr>
          <w:lang w:val="en-US"/>
        </w:rPr>
        <w:t>6</w:t>
      </w:r>
      <w:r>
        <w:rPr>
          <w:lang w:val="en-US"/>
        </w:rPr>
        <w:t>,</w:t>
      </w:r>
      <w:r w:rsidR="0037724E" w:rsidRPr="00480F72">
        <w:rPr>
          <w:lang w:val="en-US"/>
        </w:rPr>
        <w:t>234 (2016</w:t>
      </w:r>
      <w:r w:rsidR="000719FD" w:rsidRPr="00480F72">
        <w:rPr>
          <w:lang w:val="en-US"/>
        </w:rPr>
        <w:t xml:space="preserve">: </w:t>
      </w:r>
      <w:r w:rsidR="0037724E" w:rsidRPr="00480F72">
        <w:rPr>
          <w:lang w:val="en-US"/>
        </w:rPr>
        <w:t>6</w:t>
      </w:r>
      <w:r>
        <w:rPr>
          <w:lang w:val="en-US"/>
        </w:rPr>
        <w:t>,</w:t>
      </w:r>
      <w:r w:rsidR="0037724E" w:rsidRPr="00480F72">
        <w:rPr>
          <w:lang w:val="en-US"/>
        </w:rPr>
        <w:t>063</w:t>
      </w:r>
      <w:r w:rsidR="000719FD" w:rsidRPr="00480F72">
        <w:rPr>
          <w:lang w:val="en-US"/>
        </w:rPr>
        <w:t xml:space="preserve">) </w:t>
      </w:r>
      <w:r>
        <w:rPr>
          <w:lang w:val="en-US"/>
        </w:rPr>
        <w:t>beds</w:t>
      </w:r>
      <w:r w:rsidR="000719FD" w:rsidRPr="00480F72">
        <w:rPr>
          <w:lang w:val="en-US"/>
        </w:rPr>
        <w:t>, 48 (201</w:t>
      </w:r>
      <w:r w:rsidR="0037724E" w:rsidRPr="00480F72">
        <w:rPr>
          <w:lang w:val="en-US"/>
        </w:rPr>
        <w:t>6</w:t>
      </w:r>
      <w:r w:rsidR="000719FD" w:rsidRPr="00480F72">
        <w:rPr>
          <w:lang w:val="en-US"/>
        </w:rPr>
        <w:t>:4</w:t>
      </w:r>
      <w:r w:rsidR="0037724E" w:rsidRPr="00480F72">
        <w:rPr>
          <w:lang w:val="en-US"/>
        </w:rPr>
        <w:t>9</w:t>
      </w:r>
      <w:r w:rsidR="000719FD" w:rsidRPr="00480F72">
        <w:rPr>
          <w:lang w:val="en-US"/>
        </w:rPr>
        <w:t>)</w:t>
      </w:r>
      <w:r>
        <w:rPr>
          <w:lang w:val="en-US"/>
        </w:rPr>
        <w:t xml:space="preserve"> three-star businesses with </w:t>
      </w:r>
      <w:r w:rsidR="0037724E" w:rsidRPr="00480F72">
        <w:rPr>
          <w:lang w:val="en-US"/>
        </w:rPr>
        <w:t>3</w:t>
      </w:r>
      <w:r>
        <w:rPr>
          <w:lang w:val="en-US"/>
        </w:rPr>
        <w:t>,</w:t>
      </w:r>
      <w:r w:rsidR="0037724E" w:rsidRPr="00480F72">
        <w:rPr>
          <w:lang w:val="en-US"/>
        </w:rPr>
        <w:t>565 (2016</w:t>
      </w:r>
      <w:r w:rsidR="000719FD" w:rsidRPr="00480F72">
        <w:rPr>
          <w:lang w:val="en-US"/>
        </w:rPr>
        <w:t xml:space="preserve">: </w:t>
      </w:r>
      <w:r w:rsidR="0037724E" w:rsidRPr="00480F72">
        <w:rPr>
          <w:lang w:val="en-US"/>
        </w:rPr>
        <w:t>3</w:t>
      </w:r>
      <w:r>
        <w:rPr>
          <w:lang w:val="en-US"/>
        </w:rPr>
        <w:t>,</w:t>
      </w:r>
      <w:r w:rsidR="0037724E" w:rsidRPr="00480F72">
        <w:rPr>
          <w:lang w:val="en-US"/>
        </w:rPr>
        <w:t>585</w:t>
      </w:r>
      <w:r w:rsidR="000719FD" w:rsidRPr="00480F72">
        <w:rPr>
          <w:lang w:val="en-US"/>
        </w:rPr>
        <w:t xml:space="preserve">) </w:t>
      </w:r>
      <w:r>
        <w:rPr>
          <w:lang w:val="en-US"/>
        </w:rPr>
        <w:t xml:space="preserve">beds, and 21 </w:t>
      </w:r>
      <w:r w:rsidR="0037724E" w:rsidRPr="00480F72">
        <w:rPr>
          <w:lang w:val="en-US"/>
        </w:rPr>
        <w:t>(2016: 20</w:t>
      </w:r>
      <w:r w:rsidR="000719FD" w:rsidRPr="00480F72">
        <w:rPr>
          <w:lang w:val="en-US"/>
        </w:rPr>
        <w:t>)</w:t>
      </w:r>
      <w:r>
        <w:rPr>
          <w:lang w:val="en-US"/>
        </w:rPr>
        <w:t xml:space="preserve"> 2- or 1-star businesses with </w:t>
      </w:r>
      <w:r w:rsidR="0037724E" w:rsidRPr="00480F72">
        <w:rPr>
          <w:lang w:val="en-US"/>
        </w:rPr>
        <w:t>1</w:t>
      </w:r>
      <w:r>
        <w:rPr>
          <w:lang w:val="en-US"/>
        </w:rPr>
        <w:t>,</w:t>
      </w:r>
      <w:r w:rsidR="0037724E" w:rsidRPr="00480F72">
        <w:rPr>
          <w:lang w:val="en-US"/>
        </w:rPr>
        <w:t>337</w:t>
      </w:r>
      <w:r w:rsidR="000719FD" w:rsidRPr="00480F72">
        <w:rPr>
          <w:lang w:val="en-US"/>
        </w:rPr>
        <w:t xml:space="preserve"> (201</w:t>
      </w:r>
      <w:r w:rsidR="0037724E" w:rsidRPr="00480F72">
        <w:rPr>
          <w:lang w:val="en-US"/>
        </w:rPr>
        <w:t>6</w:t>
      </w:r>
      <w:r w:rsidR="000719FD" w:rsidRPr="00480F72">
        <w:rPr>
          <w:lang w:val="en-US"/>
        </w:rPr>
        <w:t xml:space="preserve">: </w:t>
      </w:r>
      <w:r w:rsidR="0037724E" w:rsidRPr="00480F72">
        <w:rPr>
          <w:lang w:val="en-US"/>
        </w:rPr>
        <w:t>1.306</w:t>
      </w:r>
      <w:r w:rsidR="000719FD" w:rsidRPr="00480F72">
        <w:rPr>
          <w:lang w:val="en-US"/>
        </w:rPr>
        <w:t xml:space="preserve">) </w:t>
      </w:r>
      <w:r>
        <w:rPr>
          <w:lang w:val="en-US"/>
        </w:rPr>
        <w:t>beds</w:t>
      </w:r>
      <w:r w:rsidR="000719FD" w:rsidRPr="00480F72">
        <w:rPr>
          <w:lang w:val="en-US"/>
        </w:rPr>
        <w:t>.</w:t>
      </w:r>
      <w:r w:rsidR="0037724E" w:rsidRPr="00480F72">
        <w:rPr>
          <w:lang w:val="en-US"/>
        </w:rPr>
        <w:t xml:space="preserve"> </w:t>
      </w:r>
    </w:p>
    <w:p w:rsidR="001C6E9D" w:rsidRPr="00480F72" w:rsidRDefault="001C6E9D" w:rsidP="003A1318">
      <w:pPr>
        <w:jc w:val="both"/>
        <w:outlineLvl w:val="0"/>
        <w:rPr>
          <w:lang w:val="en-US"/>
        </w:rPr>
      </w:pPr>
    </w:p>
    <w:p w:rsidR="000719FD" w:rsidRDefault="00F06988" w:rsidP="003A1318">
      <w:pPr>
        <w:jc w:val="both"/>
        <w:outlineLvl w:val="0"/>
        <w:rPr>
          <w:lang w:val="en-US"/>
        </w:rPr>
      </w:pPr>
      <w:r w:rsidRPr="00480F72">
        <w:rPr>
          <w:lang w:val="en-US"/>
        </w:rPr>
        <w:t>87</w:t>
      </w:r>
      <w:r w:rsidR="00F62431">
        <w:rPr>
          <w:lang w:val="en-US"/>
        </w:rPr>
        <w:t>.</w:t>
      </w:r>
      <w:r w:rsidRPr="00480F72">
        <w:rPr>
          <w:lang w:val="en-US"/>
        </w:rPr>
        <w:t>3</w:t>
      </w:r>
      <w:r w:rsidR="000719FD" w:rsidRPr="00480F72">
        <w:rPr>
          <w:lang w:val="en-US"/>
        </w:rPr>
        <w:t xml:space="preserve">% </w:t>
      </w:r>
      <w:r w:rsidR="00F62431">
        <w:rPr>
          <w:lang w:val="en-US"/>
        </w:rPr>
        <w:t xml:space="preserve">of all overnights are accounted for by hotels and </w:t>
      </w:r>
      <w:r w:rsidR="00681F61">
        <w:rPr>
          <w:lang w:val="en-US"/>
        </w:rPr>
        <w:t>comparable</w:t>
      </w:r>
      <w:r w:rsidR="00F62431">
        <w:rPr>
          <w:lang w:val="en-US"/>
        </w:rPr>
        <w:t xml:space="preserve"> establishments, 1.6% by private B&amp;Bs, 5.2% by youth hostels and campgrounds, and 5.9% by other forms of accommodation (lodgings at religious establishments, for example</w:t>
      </w:r>
      <w:r w:rsidR="00D4495A" w:rsidRPr="00480F72">
        <w:rPr>
          <w:lang w:val="en-US"/>
        </w:rPr>
        <w:t>).</w:t>
      </w:r>
    </w:p>
    <w:p w:rsidR="001C6E9D" w:rsidRDefault="001C6E9D" w:rsidP="003A1318">
      <w:pPr>
        <w:jc w:val="both"/>
        <w:outlineLvl w:val="0"/>
        <w:rPr>
          <w:lang w:val="en-US"/>
        </w:rPr>
      </w:pPr>
    </w:p>
    <w:p w:rsidR="001C6E9D" w:rsidRDefault="001C6E9D" w:rsidP="003A1318">
      <w:pPr>
        <w:jc w:val="both"/>
        <w:outlineLvl w:val="0"/>
        <w:rPr>
          <w:lang w:val="en-US"/>
        </w:rPr>
      </w:pPr>
    </w:p>
    <w:p w:rsidR="001C6E9D" w:rsidRPr="00480F72" w:rsidRDefault="001C6E9D" w:rsidP="003A1318">
      <w:pPr>
        <w:jc w:val="both"/>
        <w:outlineLvl w:val="0"/>
        <w:rPr>
          <w:lang w:val="en-US"/>
        </w:rPr>
      </w:pPr>
    </w:p>
    <w:p w:rsidR="0016310C" w:rsidRPr="00480F72" w:rsidRDefault="00F62431" w:rsidP="0016310C">
      <w:pPr>
        <w:rPr>
          <w:b/>
          <w:lang w:val="en-US"/>
        </w:rPr>
      </w:pPr>
      <w:r>
        <w:rPr>
          <w:b/>
          <w:lang w:val="en-US"/>
        </w:rPr>
        <w:lastRenderedPageBreak/>
        <w:t xml:space="preserve">The Importance of Surrounding Communities </w:t>
      </w:r>
    </w:p>
    <w:p w:rsidR="0016310C" w:rsidRDefault="00F62431" w:rsidP="0016310C">
      <w:pPr>
        <w:rPr>
          <w:color w:val="000000"/>
          <w:lang w:val="en-US"/>
        </w:rPr>
      </w:pPr>
      <w:r>
        <w:rPr>
          <w:color w:val="000000"/>
          <w:lang w:val="en-US"/>
        </w:rPr>
        <w:t xml:space="preserve">Since 2007, </w:t>
      </w:r>
      <w:r w:rsidR="0016310C" w:rsidRPr="00480F72">
        <w:rPr>
          <w:color w:val="000000"/>
          <w:lang w:val="en-US"/>
        </w:rPr>
        <w:t xml:space="preserve">Tourismus Salzburg GmbH </w:t>
      </w:r>
      <w:r>
        <w:rPr>
          <w:color w:val="000000"/>
          <w:lang w:val="en-US"/>
        </w:rPr>
        <w:t xml:space="preserve">has worked closely with </w:t>
      </w:r>
      <w:r w:rsidR="00290BE5">
        <w:rPr>
          <w:color w:val="000000"/>
          <w:lang w:val="en-US"/>
        </w:rPr>
        <w:t>nine</w:t>
      </w:r>
      <w:r>
        <w:rPr>
          <w:color w:val="000000"/>
          <w:lang w:val="en-US"/>
        </w:rPr>
        <w:t xml:space="preserve"> neighboring communities in </w:t>
      </w:r>
      <w:r w:rsidR="0016310C" w:rsidRPr="00480F72">
        <w:rPr>
          <w:color w:val="000000"/>
          <w:lang w:val="en-US"/>
        </w:rPr>
        <w:t>Anthering, Bergheim, Elixhausen, Elsbethen, Eugendorf, Gro</w:t>
      </w:r>
      <w:r>
        <w:rPr>
          <w:color w:val="000000"/>
          <w:lang w:val="en-US"/>
        </w:rPr>
        <w:t>ss</w:t>
      </w:r>
      <w:r w:rsidR="0016310C" w:rsidRPr="00480F72">
        <w:rPr>
          <w:color w:val="000000"/>
          <w:lang w:val="en-US"/>
        </w:rPr>
        <w:t xml:space="preserve">gmain, Grödig, Hallwang </w:t>
      </w:r>
      <w:r>
        <w:rPr>
          <w:color w:val="000000"/>
          <w:lang w:val="en-US"/>
        </w:rPr>
        <w:t>a</w:t>
      </w:r>
      <w:r w:rsidR="0016310C" w:rsidRPr="00480F72">
        <w:rPr>
          <w:color w:val="000000"/>
          <w:lang w:val="en-US"/>
        </w:rPr>
        <w:t xml:space="preserve">nd Wals-Siezenheim. </w:t>
      </w:r>
      <w:r>
        <w:rPr>
          <w:color w:val="000000"/>
          <w:lang w:val="en-US"/>
        </w:rPr>
        <w:t xml:space="preserve">A comparison of statistical data </w:t>
      </w:r>
      <w:r w:rsidR="002F34CA">
        <w:rPr>
          <w:color w:val="000000"/>
          <w:lang w:val="en-US"/>
        </w:rPr>
        <w:t>shows</w:t>
      </w:r>
      <w:r>
        <w:rPr>
          <w:color w:val="000000"/>
          <w:lang w:val="en-US"/>
        </w:rPr>
        <w:t xml:space="preserve"> that neighboring communities benefit to a similar extent from city tourism. Their local businesses recorded a total of </w:t>
      </w:r>
      <w:r w:rsidR="009B05CC" w:rsidRPr="00480F72">
        <w:rPr>
          <w:color w:val="000000"/>
          <w:lang w:val="en-US"/>
        </w:rPr>
        <w:t>816</w:t>
      </w:r>
      <w:r>
        <w:rPr>
          <w:color w:val="000000"/>
          <w:lang w:val="en-US"/>
        </w:rPr>
        <w:t>,</w:t>
      </w:r>
      <w:r w:rsidR="009B05CC" w:rsidRPr="00480F72">
        <w:rPr>
          <w:color w:val="000000"/>
          <w:lang w:val="en-US"/>
        </w:rPr>
        <w:t>845</w:t>
      </w:r>
      <w:r>
        <w:rPr>
          <w:color w:val="000000"/>
          <w:lang w:val="en-US"/>
        </w:rPr>
        <w:t xml:space="preserve"> overnights </w:t>
      </w:r>
      <w:r w:rsidR="009B05CC" w:rsidRPr="00480F72">
        <w:rPr>
          <w:color w:val="000000"/>
          <w:lang w:val="en-US"/>
        </w:rPr>
        <w:t>(+6</w:t>
      </w:r>
      <w:r>
        <w:rPr>
          <w:color w:val="000000"/>
          <w:lang w:val="en-US"/>
        </w:rPr>
        <w:t>.</w:t>
      </w:r>
      <w:r w:rsidR="009B05CC" w:rsidRPr="00480F72">
        <w:rPr>
          <w:color w:val="000000"/>
          <w:lang w:val="en-US"/>
        </w:rPr>
        <w:t>71</w:t>
      </w:r>
      <w:r w:rsidR="0016310C" w:rsidRPr="00480F72">
        <w:rPr>
          <w:color w:val="000000"/>
          <w:lang w:val="en-US"/>
        </w:rPr>
        <w:t xml:space="preserve">% </w:t>
      </w:r>
      <w:r>
        <w:rPr>
          <w:color w:val="000000"/>
          <w:lang w:val="en-US"/>
        </w:rPr>
        <w:t>compared to the prior year</w:t>
      </w:r>
      <w:r w:rsidR="0016310C" w:rsidRPr="00480F72">
        <w:rPr>
          <w:color w:val="000000"/>
          <w:lang w:val="en-US"/>
        </w:rPr>
        <w:t xml:space="preserve">). </w:t>
      </w:r>
      <w:r>
        <w:rPr>
          <w:color w:val="000000"/>
          <w:lang w:val="en-US"/>
        </w:rPr>
        <w:t xml:space="preserve">With an average length of stay of 1.8 nights, the 5,050 beds available </w:t>
      </w:r>
      <w:r w:rsidR="002F34CA">
        <w:rPr>
          <w:color w:val="000000"/>
          <w:lang w:val="en-US"/>
        </w:rPr>
        <w:t>enjoyed</w:t>
      </w:r>
      <w:r>
        <w:rPr>
          <w:color w:val="000000"/>
          <w:lang w:val="en-US"/>
        </w:rPr>
        <w:t xml:space="preserve"> an occupancy rate of 43.48%</w:t>
      </w:r>
      <w:r w:rsidR="0016310C" w:rsidRPr="00480F72">
        <w:rPr>
          <w:color w:val="000000"/>
          <w:lang w:val="en-US"/>
        </w:rPr>
        <w:t xml:space="preserve">. </w:t>
      </w:r>
    </w:p>
    <w:p w:rsidR="001C6E9D" w:rsidRPr="00480F72" w:rsidRDefault="001C6E9D" w:rsidP="0016310C">
      <w:pPr>
        <w:rPr>
          <w:b/>
          <w:highlight w:val="yellow"/>
          <w:lang w:val="en-US"/>
        </w:rPr>
      </w:pPr>
    </w:p>
    <w:p w:rsidR="000719FD" w:rsidRPr="00480F72" w:rsidRDefault="00F62431" w:rsidP="003A1318">
      <w:pPr>
        <w:jc w:val="both"/>
        <w:outlineLvl w:val="0"/>
        <w:rPr>
          <w:b/>
          <w:lang w:val="en-US"/>
        </w:rPr>
      </w:pPr>
      <w:r>
        <w:rPr>
          <w:b/>
          <w:lang w:val="en-US"/>
        </w:rPr>
        <w:t>Day</w:t>
      </w:r>
      <w:r w:rsidR="001C6E9D">
        <w:rPr>
          <w:b/>
          <w:lang w:val="en-US"/>
        </w:rPr>
        <w:t>-trip</w:t>
      </w:r>
      <w:r>
        <w:rPr>
          <w:b/>
          <w:lang w:val="en-US"/>
        </w:rPr>
        <w:t xml:space="preserve"> Tourism </w:t>
      </w:r>
    </w:p>
    <w:p w:rsidR="000719FD" w:rsidRDefault="00F62431" w:rsidP="003A1318">
      <w:pPr>
        <w:jc w:val="both"/>
        <w:outlineLvl w:val="0"/>
        <w:rPr>
          <w:lang w:val="en-US"/>
        </w:rPr>
      </w:pPr>
      <w:r>
        <w:rPr>
          <w:lang w:val="en-US"/>
        </w:rPr>
        <w:t>Based on a 2007 study, we may assume that 6.5 million day-visitors come to Salzburg City annually. The most popular activities for day</w:t>
      </w:r>
      <w:r w:rsidR="002F34CA">
        <w:rPr>
          <w:lang w:val="en-US"/>
        </w:rPr>
        <w:t>-</w:t>
      </w:r>
      <w:r>
        <w:rPr>
          <w:lang w:val="en-US"/>
        </w:rPr>
        <w:t>tourists are dining out, strolling through the city and shopping. The majority of day</w:t>
      </w:r>
      <w:r w:rsidR="002F34CA">
        <w:rPr>
          <w:lang w:val="en-US"/>
        </w:rPr>
        <w:t>-</w:t>
      </w:r>
      <w:r>
        <w:rPr>
          <w:lang w:val="en-US"/>
        </w:rPr>
        <w:t xml:space="preserve">visitors come to the city more than once a year (on average, </w:t>
      </w:r>
      <w:r w:rsidR="00290BE5">
        <w:rPr>
          <w:lang w:val="en-US"/>
        </w:rPr>
        <w:t>eleven</w:t>
      </w:r>
      <w:r>
        <w:rPr>
          <w:lang w:val="en-US"/>
        </w:rPr>
        <w:t xml:space="preserve"> times). Almost </w:t>
      </w:r>
      <w:r w:rsidR="002F34CA">
        <w:rPr>
          <w:lang w:val="en-US"/>
        </w:rPr>
        <w:t>two-thirds</w:t>
      </w:r>
      <w:r>
        <w:rPr>
          <w:lang w:val="en-US"/>
        </w:rPr>
        <w:t xml:space="preserve"> of day</w:t>
      </w:r>
      <w:r w:rsidR="002F34CA">
        <w:rPr>
          <w:lang w:val="en-US"/>
        </w:rPr>
        <w:t>-</w:t>
      </w:r>
      <w:r>
        <w:rPr>
          <w:lang w:val="en-US"/>
        </w:rPr>
        <w:t xml:space="preserve">visitors traveled </w:t>
      </w:r>
      <w:r w:rsidR="002F34CA">
        <w:rPr>
          <w:lang w:val="en-US"/>
        </w:rPr>
        <w:t xml:space="preserve">in </w:t>
      </w:r>
      <w:r>
        <w:rPr>
          <w:lang w:val="en-US"/>
        </w:rPr>
        <w:t>directly from their hometown. 70% of these c</w:t>
      </w:r>
      <w:r w:rsidR="002F34CA">
        <w:rPr>
          <w:lang w:val="en-US"/>
        </w:rPr>
        <w:t>a</w:t>
      </w:r>
      <w:r>
        <w:rPr>
          <w:lang w:val="en-US"/>
        </w:rPr>
        <w:t xml:space="preserve">me from surrounding areas of Austria, </w:t>
      </w:r>
      <w:r w:rsidR="002F34CA">
        <w:rPr>
          <w:lang w:val="en-US"/>
        </w:rPr>
        <w:t>and</w:t>
      </w:r>
      <w:r>
        <w:rPr>
          <w:lang w:val="en-US"/>
        </w:rPr>
        <w:t xml:space="preserve"> 30% from neighboring Bavaria. </w:t>
      </w:r>
      <w:r w:rsidR="002F34CA">
        <w:rPr>
          <w:lang w:val="en-US"/>
        </w:rPr>
        <w:t>The seasonal peak is</w:t>
      </w:r>
      <w:r>
        <w:rPr>
          <w:lang w:val="en-US"/>
        </w:rPr>
        <w:t xml:space="preserve"> reached during the summer months. On average, the day</w:t>
      </w:r>
      <w:r w:rsidR="002F34CA">
        <w:rPr>
          <w:lang w:val="en-US"/>
        </w:rPr>
        <w:t>-</w:t>
      </w:r>
      <w:r>
        <w:rPr>
          <w:lang w:val="en-US"/>
        </w:rPr>
        <w:t>visitor stays 5</w:t>
      </w:r>
      <w:r w:rsidR="00290BE5">
        <w:rPr>
          <w:lang w:val="en-US"/>
        </w:rPr>
        <w:t>.5</w:t>
      </w:r>
      <w:r>
        <w:rPr>
          <w:lang w:val="en-US"/>
        </w:rPr>
        <w:t xml:space="preserve"> hours in the city and spends approximately €35 per capita</w:t>
      </w:r>
      <w:r w:rsidR="000719FD" w:rsidRPr="00480F72">
        <w:rPr>
          <w:lang w:val="en-US"/>
        </w:rPr>
        <w:t>.</w:t>
      </w:r>
    </w:p>
    <w:p w:rsidR="001C6E9D" w:rsidRPr="00480F72" w:rsidRDefault="001C6E9D" w:rsidP="003A1318">
      <w:pPr>
        <w:jc w:val="both"/>
        <w:outlineLvl w:val="0"/>
        <w:rPr>
          <w:lang w:val="en-US"/>
        </w:rPr>
      </w:pPr>
    </w:p>
    <w:p w:rsidR="000719FD" w:rsidRPr="00480F72" w:rsidRDefault="00F62431" w:rsidP="003A1318">
      <w:pPr>
        <w:jc w:val="both"/>
        <w:outlineLvl w:val="0"/>
        <w:rPr>
          <w:b/>
          <w:lang w:val="en-US"/>
        </w:rPr>
      </w:pPr>
      <w:r>
        <w:rPr>
          <w:b/>
          <w:lang w:val="en-US"/>
        </w:rPr>
        <w:t xml:space="preserve">Tourism as an Economic Factor </w:t>
      </w:r>
    </w:p>
    <w:p w:rsidR="000719FD" w:rsidRDefault="00AA57E8" w:rsidP="003A1318">
      <w:pPr>
        <w:jc w:val="both"/>
        <w:rPr>
          <w:lang w:val="en-US"/>
        </w:rPr>
      </w:pPr>
      <w:r>
        <w:rPr>
          <w:lang w:val="en-US"/>
        </w:rPr>
        <w:t>T</w:t>
      </w:r>
      <w:r w:rsidR="00DE2ECC">
        <w:rPr>
          <w:lang w:val="en-US"/>
        </w:rPr>
        <w:t xml:space="preserve">otal tourism revenues in Salzburg </w:t>
      </w:r>
      <w:r>
        <w:rPr>
          <w:lang w:val="en-US"/>
        </w:rPr>
        <w:t>C</w:t>
      </w:r>
      <w:r w:rsidR="00DE2ECC">
        <w:rPr>
          <w:lang w:val="en-US"/>
        </w:rPr>
        <w:t xml:space="preserve">ity </w:t>
      </w:r>
      <w:r>
        <w:rPr>
          <w:lang w:val="en-US"/>
        </w:rPr>
        <w:t xml:space="preserve">amount to approximately €1 billion. The tourism share of local GDP is estimated to be between 15 and 20%. Approximately 10,000 jobs in the city </w:t>
      </w:r>
      <w:r w:rsidR="002F34CA">
        <w:rPr>
          <w:lang w:val="en-US"/>
        </w:rPr>
        <w:t>are dependent on</w:t>
      </w:r>
      <w:r>
        <w:rPr>
          <w:lang w:val="en-US"/>
        </w:rPr>
        <w:t xml:space="preserve"> tourism</w:t>
      </w:r>
      <w:r w:rsidR="000719FD" w:rsidRPr="00480F72">
        <w:rPr>
          <w:lang w:val="en-US"/>
        </w:rPr>
        <w:t>.</w:t>
      </w:r>
    </w:p>
    <w:p w:rsidR="001C6E9D" w:rsidRPr="00480F72" w:rsidRDefault="001C6E9D" w:rsidP="003A1318">
      <w:pPr>
        <w:jc w:val="both"/>
        <w:rPr>
          <w:lang w:val="en-US"/>
        </w:rPr>
      </w:pPr>
    </w:p>
    <w:p w:rsidR="000719FD" w:rsidRDefault="00AA57E8" w:rsidP="003A1318">
      <w:pPr>
        <w:jc w:val="both"/>
        <w:rPr>
          <w:lang w:val="en-US"/>
        </w:rPr>
      </w:pPr>
      <w:r>
        <w:rPr>
          <w:lang w:val="en-US"/>
        </w:rPr>
        <w:t xml:space="preserve">In addition to its tourism expertise and its role as a city of culture, Salzburg is also a very important commercial center in general. The economic impact of Salzburg as a commercial hub extends, not only to the province of the same name, but also to the entire region, which includes parts of neighboring Bavaria as well as Upper Austria. Important service and commercial businesses, such as </w:t>
      </w:r>
      <w:r w:rsidR="000719FD" w:rsidRPr="00480F72">
        <w:rPr>
          <w:lang w:val="en-US"/>
        </w:rPr>
        <w:t xml:space="preserve">Porsche Holding </w:t>
      </w:r>
      <w:r>
        <w:rPr>
          <w:lang w:val="en-US"/>
        </w:rPr>
        <w:t>and</w:t>
      </w:r>
      <w:r w:rsidR="000719FD" w:rsidRPr="00480F72">
        <w:rPr>
          <w:lang w:val="en-US"/>
        </w:rPr>
        <w:t xml:space="preserve"> Spar Handelsgesellschaft, </w:t>
      </w:r>
      <w:r>
        <w:rPr>
          <w:lang w:val="en-US"/>
        </w:rPr>
        <w:t xml:space="preserve">are headquartered here. Likewise, renowned banks such as </w:t>
      </w:r>
      <w:r w:rsidR="000719FD" w:rsidRPr="00480F72">
        <w:rPr>
          <w:lang w:val="en-US"/>
        </w:rPr>
        <w:t xml:space="preserve">Bankhaus Spängler </w:t>
      </w:r>
      <w:r>
        <w:rPr>
          <w:lang w:val="en-US"/>
        </w:rPr>
        <w:t>a</w:t>
      </w:r>
      <w:r w:rsidR="000719FD" w:rsidRPr="00480F72">
        <w:rPr>
          <w:lang w:val="en-US"/>
        </w:rPr>
        <w:t>nd Wüstenrot</w:t>
      </w:r>
      <w:r>
        <w:rPr>
          <w:lang w:val="en-US"/>
        </w:rPr>
        <w:t>, as well as numerous big shipping companies take advantage of the city’s central location</w:t>
      </w:r>
      <w:r w:rsidR="000719FD" w:rsidRPr="00480F72">
        <w:rPr>
          <w:lang w:val="en-US"/>
        </w:rPr>
        <w:t xml:space="preserve"> </w:t>
      </w:r>
      <w:r>
        <w:rPr>
          <w:lang w:val="en-US"/>
        </w:rPr>
        <w:t>for their head offices</w:t>
      </w:r>
      <w:r w:rsidR="000719FD" w:rsidRPr="00480F72">
        <w:rPr>
          <w:lang w:val="en-US"/>
        </w:rPr>
        <w:t>.</w:t>
      </w:r>
    </w:p>
    <w:p w:rsidR="001C6E9D" w:rsidRPr="00480F72" w:rsidRDefault="001C6E9D" w:rsidP="003A1318">
      <w:pPr>
        <w:jc w:val="both"/>
        <w:rPr>
          <w:lang w:val="en-US"/>
        </w:rPr>
      </w:pPr>
    </w:p>
    <w:p w:rsidR="000719FD" w:rsidRPr="00480F72" w:rsidRDefault="00AA57E8" w:rsidP="003A1318">
      <w:pPr>
        <w:jc w:val="both"/>
        <w:outlineLvl w:val="0"/>
        <w:rPr>
          <w:b/>
          <w:lang w:val="en-US"/>
        </w:rPr>
      </w:pPr>
      <w:r>
        <w:rPr>
          <w:b/>
          <w:lang w:val="en-US"/>
        </w:rPr>
        <w:t>Visitor numbers at the most important sightseeing attractions in 2017</w:t>
      </w:r>
      <w:r w:rsidR="000719FD" w:rsidRPr="00480F72">
        <w:rPr>
          <w:b/>
          <w:lang w:val="en-US"/>
        </w:rPr>
        <w:t>:</w:t>
      </w:r>
    </w:p>
    <w:p w:rsidR="000719FD" w:rsidRPr="00480F72" w:rsidRDefault="00246444" w:rsidP="003A1318">
      <w:pPr>
        <w:numPr>
          <w:ilvl w:val="0"/>
          <w:numId w:val="5"/>
        </w:numPr>
        <w:jc w:val="both"/>
        <w:rPr>
          <w:szCs w:val="24"/>
          <w:lang w:val="en-US"/>
        </w:rPr>
      </w:pPr>
      <w:r w:rsidRPr="00480F72">
        <w:rPr>
          <w:szCs w:val="24"/>
          <w:lang w:val="en-US"/>
        </w:rPr>
        <w:t>Hohensalzburg</w:t>
      </w:r>
      <w:r w:rsidR="00AA57E8">
        <w:rPr>
          <w:szCs w:val="24"/>
          <w:lang w:val="en-US"/>
        </w:rPr>
        <w:t xml:space="preserve"> Fortress</w:t>
      </w:r>
      <w:r w:rsidRPr="00480F72">
        <w:rPr>
          <w:szCs w:val="24"/>
          <w:lang w:val="en-US"/>
        </w:rPr>
        <w:t xml:space="preserve"> </w:t>
      </w:r>
      <w:r w:rsidR="00CA7F56" w:rsidRPr="00480F72">
        <w:rPr>
          <w:szCs w:val="24"/>
          <w:lang w:val="en-US"/>
        </w:rPr>
        <w:t>1</w:t>
      </w:r>
      <w:r w:rsidR="00AA57E8">
        <w:rPr>
          <w:szCs w:val="24"/>
          <w:lang w:val="en-US"/>
        </w:rPr>
        <w:t>,</w:t>
      </w:r>
      <w:r w:rsidR="00CA7F56" w:rsidRPr="00480F72">
        <w:rPr>
          <w:szCs w:val="24"/>
          <w:lang w:val="en-US"/>
        </w:rPr>
        <w:t>197</w:t>
      </w:r>
      <w:r w:rsidR="00AA57E8">
        <w:rPr>
          <w:szCs w:val="24"/>
          <w:lang w:val="en-US"/>
        </w:rPr>
        <w:t>,</w:t>
      </w:r>
      <w:r w:rsidR="00CA7F56" w:rsidRPr="00480F72">
        <w:rPr>
          <w:szCs w:val="24"/>
          <w:lang w:val="en-US"/>
        </w:rPr>
        <w:t>552</w:t>
      </w:r>
      <w:r w:rsidRPr="00480F72">
        <w:rPr>
          <w:szCs w:val="24"/>
          <w:lang w:val="en-US"/>
        </w:rPr>
        <w:t xml:space="preserve"> (2016</w:t>
      </w:r>
      <w:r w:rsidR="000719FD" w:rsidRPr="00480F72">
        <w:rPr>
          <w:szCs w:val="24"/>
          <w:lang w:val="en-US"/>
        </w:rPr>
        <w:t xml:space="preserve">: </w:t>
      </w:r>
      <w:r w:rsidR="0054532A" w:rsidRPr="00480F72">
        <w:rPr>
          <w:szCs w:val="24"/>
          <w:lang w:val="en-US"/>
        </w:rPr>
        <w:t>1</w:t>
      </w:r>
      <w:r w:rsidR="00AA57E8">
        <w:rPr>
          <w:szCs w:val="24"/>
          <w:lang w:val="en-US"/>
        </w:rPr>
        <w:t>,</w:t>
      </w:r>
      <w:r w:rsidR="0054532A" w:rsidRPr="00480F72">
        <w:rPr>
          <w:szCs w:val="24"/>
          <w:lang w:val="en-US"/>
        </w:rPr>
        <w:t>141</w:t>
      </w:r>
      <w:r w:rsidR="00AA57E8">
        <w:rPr>
          <w:szCs w:val="24"/>
          <w:lang w:val="en-US"/>
        </w:rPr>
        <w:t>,</w:t>
      </w:r>
      <w:r w:rsidR="0054532A" w:rsidRPr="00480F72">
        <w:rPr>
          <w:szCs w:val="24"/>
          <w:lang w:val="en-US"/>
        </w:rPr>
        <w:t>071</w:t>
      </w:r>
      <w:r w:rsidR="000719FD" w:rsidRPr="00480F72">
        <w:rPr>
          <w:szCs w:val="24"/>
          <w:lang w:val="en-US"/>
        </w:rPr>
        <w:t xml:space="preserve">)  </w:t>
      </w:r>
    </w:p>
    <w:p w:rsidR="000719FD" w:rsidRPr="00480F72" w:rsidRDefault="00AA57E8" w:rsidP="003A1318">
      <w:pPr>
        <w:numPr>
          <w:ilvl w:val="0"/>
          <w:numId w:val="5"/>
        </w:numPr>
        <w:jc w:val="both"/>
        <w:rPr>
          <w:szCs w:val="24"/>
          <w:lang w:val="en-US"/>
        </w:rPr>
      </w:pPr>
      <w:r>
        <w:rPr>
          <w:szCs w:val="24"/>
          <w:lang w:val="en-US"/>
        </w:rPr>
        <w:t xml:space="preserve">Fortress Museum </w:t>
      </w:r>
      <w:r w:rsidR="00EB61F8" w:rsidRPr="00480F72">
        <w:rPr>
          <w:rFonts w:ascii="Helvetica" w:hAnsi="Helvetica" w:cs="Helvetica"/>
          <w:lang w:val="en-US"/>
        </w:rPr>
        <w:t>695</w:t>
      </w:r>
      <w:r>
        <w:rPr>
          <w:rFonts w:ascii="Helvetica" w:hAnsi="Helvetica" w:cs="Helvetica"/>
          <w:lang w:val="en-US"/>
        </w:rPr>
        <w:t>,</w:t>
      </w:r>
      <w:r w:rsidR="00EB61F8" w:rsidRPr="00480F72">
        <w:rPr>
          <w:rFonts w:ascii="Helvetica" w:hAnsi="Helvetica" w:cs="Helvetica"/>
          <w:lang w:val="en-US"/>
        </w:rPr>
        <w:t>747</w:t>
      </w:r>
      <w:r w:rsidR="00246444" w:rsidRPr="00480F72">
        <w:rPr>
          <w:rFonts w:ascii="Helvetica" w:hAnsi="Helvetica" w:cs="Helvetica"/>
          <w:lang w:val="en-US"/>
        </w:rPr>
        <w:t xml:space="preserve"> (2016</w:t>
      </w:r>
      <w:r w:rsidR="000719FD" w:rsidRPr="00480F72">
        <w:rPr>
          <w:rFonts w:ascii="Helvetica" w:hAnsi="Helvetica" w:cs="Helvetica"/>
          <w:lang w:val="en-US"/>
        </w:rPr>
        <w:t xml:space="preserve">: </w:t>
      </w:r>
      <w:r w:rsidR="0054532A" w:rsidRPr="00480F72">
        <w:rPr>
          <w:rFonts w:ascii="Helvetica" w:hAnsi="Helvetica" w:cs="Helvetica"/>
          <w:lang w:val="en-US"/>
        </w:rPr>
        <w:t>655</w:t>
      </w:r>
      <w:r>
        <w:rPr>
          <w:rFonts w:ascii="Helvetica" w:hAnsi="Helvetica" w:cs="Helvetica"/>
          <w:lang w:val="en-US"/>
        </w:rPr>
        <w:t>,</w:t>
      </w:r>
      <w:r w:rsidR="0054532A" w:rsidRPr="00480F72">
        <w:rPr>
          <w:rFonts w:ascii="Helvetica" w:hAnsi="Helvetica" w:cs="Helvetica"/>
          <w:lang w:val="en-US"/>
        </w:rPr>
        <w:t>653</w:t>
      </w:r>
      <w:r w:rsidR="000719FD" w:rsidRPr="00480F72">
        <w:rPr>
          <w:szCs w:val="24"/>
          <w:lang w:val="en-US"/>
        </w:rPr>
        <w:t>)</w:t>
      </w:r>
    </w:p>
    <w:p w:rsidR="000719FD" w:rsidRPr="00480F72" w:rsidRDefault="00AA57E8" w:rsidP="003A1318">
      <w:pPr>
        <w:numPr>
          <w:ilvl w:val="0"/>
          <w:numId w:val="5"/>
        </w:numPr>
        <w:jc w:val="both"/>
        <w:rPr>
          <w:szCs w:val="24"/>
          <w:lang w:val="en-US"/>
        </w:rPr>
      </w:pPr>
      <w:r>
        <w:rPr>
          <w:szCs w:val="24"/>
          <w:lang w:val="en-US"/>
        </w:rPr>
        <w:t>Mozart’s Birthplace and the Mozart Residence</w:t>
      </w:r>
      <w:r w:rsidR="00246444" w:rsidRPr="00480F72">
        <w:rPr>
          <w:szCs w:val="24"/>
          <w:lang w:val="en-US"/>
        </w:rPr>
        <w:t xml:space="preserve">: </w:t>
      </w:r>
      <w:r w:rsidR="00155249" w:rsidRPr="00480F72">
        <w:rPr>
          <w:szCs w:val="24"/>
          <w:lang w:val="en-US"/>
        </w:rPr>
        <w:t>519</w:t>
      </w:r>
      <w:r>
        <w:rPr>
          <w:szCs w:val="24"/>
          <w:lang w:val="en-US"/>
        </w:rPr>
        <w:t>,</w:t>
      </w:r>
      <w:r w:rsidR="00155249" w:rsidRPr="00480F72">
        <w:rPr>
          <w:szCs w:val="24"/>
          <w:lang w:val="en-US"/>
        </w:rPr>
        <w:t>040</w:t>
      </w:r>
      <w:r w:rsidR="00155249" w:rsidRPr="00480F72">
        <w:rPr>
          <w:sz w:val="20"/>
          <w:szCs w:val="20"/>
          <w:lang w:val="en-US"/>
        </w:rPr>
        <w:t xml:space="preserve"> </w:t>
      </w:r>
      <w:r w:rsidR="00246444" w:rsidRPr="00480F72">
        <w:rPr>
          <w:szCs w:val="24"/>
          <w:lang w:val="en-US"/>
        </w:rPr>
        <w:t>(2016</w:t>
      </w:r>
      <w:r w:rsidR="000719FD" w:rsidRPr="00480F72">
        <w:rPr>
          <w:szCs w:val="24"/>
          <w:lang w:val="en-US"/>
        </w:rPr>
        <w:t xml:space="preserve">: </w:t>
      </w:r>
      <w:r w:rsidR="0054532A" w:rsidRPr="00480F72">
        <w:rPr>
          <w:szCs w:val="24"/>
          <w:lang w:val="en-US"/>
        </w:rPr>
        <w:t>490</w:t>
      </w:r>
      <w:r>
        <w:rPr>
          <w:szCs w:val="24"/>
          <w:lang w:val="en-US"/>
        </w:rPr>
        <w:t>,</w:t>
      </w:r>
      <w:r w:rsidR="0054532A" w:rsidRPr="00480F72">
        <w:rPr>
          <w:szCs w:val="24"/>
          <w:lang w:val="en-US"/>
        </w:rPr>
        <w:t>929</w:t>
      </w:r>
      <w:r w:rsidR="000719FD" w:rsidRPr="00480F72">
        <w:rPr>
          <w:szCs w:val="24"/>
          <w:lang w:val="en-US"/>
        </w:rPr>
        <w:t>)</w:t>
      </w:r>
    </w:p>
    <w:p w:rsidR="000719FD" w:rsidRPr="00480F72" w:rsidRDefault="00246444" w:rsidP="003A1318">
      <w:pPr>
        <w:numPr>
          <w:ilvl w:val="0"/>
          <w:numId w:val="5"/>
        </w:numPr>
        <w:jc w:val="both"/>
        <w:rPr>
          <w:szCs w:val="24"/>
          <w:lang w:val="en-US"/>
        </w:rPr>
      </w:pPr>
      <w:r w:rsidRPr="00480F72">
        <w:rPr>
          <w:szCs w:val="24"/>
          <w:lang w:val="en-US"/>
        </w:rPr>
        <w:t>Salzburg</w:t>
      </w:r>
      <w:r w:rsidR="00AA57E8">
        <w:rPr>
          <w:szCs w:val="24"/>
          <w:lang w:val="en-US"/>
        </w:rPr>
        <w:t xml:space="preserve"> </w:t>
      </w:r>
      <w:r w:rsidR="00AA57E8" w:rsidRPr="00480F72">
        <w:rPr>
          <w:szCs w:val="24"/>
          <w:lang w:val="en-US"/>
        </w:rPr>
        <w:t>Zoo</w:t>
      </w:r>
      <w:r w:rsidRPr="00480F72">
        <w:rPr>
          <w:szCs w:val="24"/>
          <w:lang w:val="en-US"/>
        </w:rPr>
        <w:t xml:space="preserve">: </w:t>
      </w:r>
      <w:r w:rsidR="00C245CA" w:rsidRPr="00480F72">
        <w:rPr>
          <w:szCs w:val="24"/>
          <w:lang w:val="en-US"/>
        </w:rPr>
        <w:t>345</w:t>
      </w:r>
      <w:r w:rsidR="00AA57E8">
        <w:rPr>
          <w:szCs w:val="24"/>
          <w:lang w:val="en-US"/>
        </w:rPr>
        <w:t>,</w:t>
      </w:r>
      <w:r w:rsidR="00C245CA" w:rsidRPr="00480F72">
        <w:rPr>
          <w:szCs w:val="24"/>
          <w:lang w:val="en-US"/>
        </w:rPr>
        <w:t>258</w:t>
      </w:r>
      <w:r w:rsidRPr="00480F72">
        <w:rPr>
          <w:szCs w:val="24"/>
          <w:lang w:val="en-US"/>
        </w:rPr>
        <w:t xml:space="preserve"> (2016</w:t>
      </w:r>
      <w:r w:rsidR="000719FD" w:rsidRPr="00480F72">
        <w:rPr>
          <w:szCs w:val="24"/>
          <w:lang w:val="en-US"/>
        </w:rPr>
        <w:t xml:space="preserve">: </w:t>
      </w:r>
      <w:r w:rsidR="0054532A" w:rsidRPr="00480F72">
        <w:rPr>
          <w:szCs w:val="24"/>
          <w:lang w:val="en-US"/>
        </w:rPr>
        <w:t>346</w:t>
      </w:r>
      <w:r w:rsidR="00AA57E8">
        <w:rPr>
          <w:szCs w:val="24"/>
          <w:lang w:val="en-US"/>
        </w:rPr>
        <w:t>,</w:t>
      </w:r>
      <w:r w:rsidR="0054532A" w:rsidRPr="00480F72">
        <w:rPr>
          <w:szCs w:val="24"/>
          <w:lang w:val="en-US"/>
        </w:rPr>
        <w:t>533</w:t>
      </w:r>
      <w:r w:rsidR="000719FD" w:rsidRPr="00480F72">
        <w:rPr>
          <w:szCs w:val="24"/>
          <w:lang w:val="en-US"/>
        </w:rPr>
        <w:t>)</w:t>
      </w:r>
    </w:p>
    <w:p w:rsidR="000719FD" w:rsidRPr="00480F72" w:rsidRDefault="00246444" w:rsidP="003A1318">
      <w:pPr>
        <w:numPr>
          <w:ilvl w:val="0"/>
          <w:numId w:val="5"/>
        </w:numPr>
        <w:jc w:val="both"/>
        <w:rPr>
          <w:sz w:val="18"/>
          <w:szCs w:val="24"/>
          <w:lang w:val="en-US"/>
        </w:rPr>
      </w:pPr>
      <w:r w:rsidRPr="00480F72">
        <w:rPr>
          <w:szCs w:val="24"/>
          <w:lang w:val="en-US"/>
        </w:rPr>
        <w:t xml:space="preserve">Haus der Natur: </w:t>
      </w:r>
      <w:r w:rsidR="000B55B0" w:rsidRPr="00480F72">
        <w:rPr>
          <w:szCs w:val="24"/>
          <w:lang w:val="en-US"/>
        </w:rPr>
        <w:t>332</w:t>
      </w:r>
      <w:r w:rsidR="00AA57E8">
        <w:rPr>
          <w:szCs w:val="24"/>
          <w:lang w:val="en-US"/>
        </w:rPr>
        <w:t>,</w:t>
      </w:r>
      <w:r w:rsidR="000B55B0" w:rsidRPr="00480F72">
        <w:rPr>
          <w:szCs w:val="24"/>
          <w:lang w:val="en-US"/>
        </w:rPr>
        <w:t>153</w:t>
      </w:r>
      <w:r w:rsidRPr="00480F72">
        <w:rPr>
          <w:szCs w:val="24"/>
          <w:lang w:val="en-US"/>
        </w:rPr>
        <w:t xml:space="preserve"> (2016</w:t>
      </w:r>
      <w:r w:rsidR="000719FD" w:rsidRPr="00480F72">
        <w:rPr>
          <w:szCs w:val="24"/>
          <w:lang w:val="en-US"/>
        </w:rPr>
        <w:t xml:space="preserve">: </w:t>
      </w:r>
      <w:r w:rsidR="0054532A" w:rsidRPr="00480F72">
        <w:rPr>
          <w:szCs w:val="24"/>
          <w:lang w:val="en-US"/>
        </w:rPr>
        <w:t>324</w:t>
      </w:r>
      <w:r w:rsidR="00AA57E8">
        <w:rPr>
          <w:szCs w:val="24"/>
          <w:lang w:val="en-US"/>
        </w:rPr>
        <w:t>,</w:t>
      </w:r>
      <w:r w:rsidR="0054532A" w:rsidRPr="00480F72">
        <w:rPr>
          <w:szCs w:val="24"/>
          <w:lang w:val="en-US"/>
        </w:rPr>
        <w:t>336</w:t>
      </w:r>
      <w:r w:rsidR="000719FD" w:rsidRPr="00480F72">
        <w:rPr>
          <w:szCs w:val="24"/>
          <w:lang w:val="en-US"/>
        </w:rPr>
        <w:t xml:space="preserve">) </w:t>
      </w:r>
    </w:p>
    <w:p w:rsidR="000719FD" w:rsidRPr="00480F72" w:rsidRDefault="00AA57E8" w:rsidP="003A1318">
      <w:pPr>
        <w:numPr>
          <w:ilvl w:val="0"/>
          <w:numId w:val="5"/>
        </w:numPr>
        <w:jc w:val="both"/>
        <w:rPr>
          <w:sz w:val="18"/>
          <w:szCs w:val="24"/>
          <w:lang w:val="en-US"/>
        </w:rPr>
      </w:pPr>
      <w:r>
        <w:rPr>
          <w:lang w:val="en-US"/>
        </w:rPr>
        <w:t>Hellbrunn Palace and grounds, including Trick Fountains</w:t>
      </w:r>
      <w:r w:rsidR="000719FD" w:rsidRPr="00480F72">
        <w:rPr>
          <w:lang w:val="en-US"/>
        </w:rPr>
        <w:t xml:space="preserve">: </w:t>
      </w:r>
      <w:r w:rsidR="000E2AA8" w:rsidRPr="00480F72">
        <w:rPr>
          <w:lang w:val="en-US"/>
        </w:rPr>
        <w:t>265</w:t>
      </w:r>
      <w:r>
        <w:rPr>
          <w:lang w:val="en-US"/>
        </w:rPr>
        <w:t>,</w:t>
      </w:r>
      <w:r w:rsidR="000E2AA8" w:rsidRPr="00480F72">
        <w:rPr>
          <w:lang w:val="en-US"/>
        </w:rPr>
        <w:t>965</w:t>
      </w:r>
      <w:r w:rsidR="000E2AA8" w:rsidRPr="00480F72">
        <w:rPr>
          <w:rFonts w:ascii="Verdana" w:hAnsi="Verdana"/>
          <w:color w:val="1F497D"/>
          <w:sz w:val="20"/>
          <w:szCs w:val="20"/>
          <w:lang w:val="en-US"/>
        </w:rPr>
        <w:t xml:space="preserve"> </w:t>
      </w:r>
      <w:r w:rsidR="000719FD" w:rsidRPr="00480F72">
        <w:rPr>
          <w:lang w:val="en-US"/>
        </w:rPr>
        <w:t>(2</w:t>
      </w:r>
      <w:r w:rsidR="00246444" w:rsidRPr="00480F72">
        <w:rPr>
          <w:lang w:val="en-US"/>
        </w:rPr>
        <w:t>016</w:t>
      </w:r>
      <w:r w:rsidR="000719FD" w:rsidRPr="00480F72">
        <w:rPr>
          <w:lang w:val="en-US"/>
        </w:rPr>
        <w:t xml:space="preserve">: </w:t>
      </w:r>
      <w:r w:rsidR="0054532A" w:rsidRPr="00480F72">
        <w:rPr>
          <w:lang w:val="en-US"/>
        </w:rPr>
        <w:t>269</w:t>
      </w:r>
      <w:r>
        <w:rPr>
          <w:lang w:val="en-US"/>
        </w:rPr>
        <w:t>,</w:t>
      </w:r>
      <w:r w:rsidR="0054532A" w:rsidRPr="00480F72">
        <w:rPr>
          <w:lang w:val="en-US"/>
        </w:rPr>
        <w:t>419</w:t>
      </w:r>
      <w:r w:rsidR="000719FD" w:rsidRPr="00480F72">
        <w:rPr>
          <w:lang w:val="en-US"/>
        </w:rPr>
        <w:t xml:space="preserve">) </w:t>
      </w:r>
    </w:p>
    <w:p w:rsidR="000719FD" w:rsidRPr="00480F72" w:rsidRDefault="005204DF" w:rsidP="003A1318">
      <w:pPr>
        <w:numPr>
          <w:ilvl w:val="0"/>
          <w:numId w:val="5"/>
        </w:numPr>
        <w:jc w:val="both"/>
        <w:rPr>
          <w:sz w:val="16"/>
          <w:szCs w:val="24"/>
          <w:lang w:val="en-US"/>
        </w:rPr>
      </w:pPr>
      <w:r w:rsidRPr="00480F72">
        <w:rPr>
          <w:szCs w:val="24"/>
          <w:lang w:val="en-US"/>
        </w:rPr>
        <w:t>DomQ</w:t>
      </w:r>
      <w:r w:rsidR="000719FD" w:rsidRPr="00480F72">
        <w:rPr>
          <w:szCs w:val="24"/>
          <w:lang w:val="en-US"/>
        </w:rPr>
        <w:t>uartier (</w:t>
      </w:r>
      <w:r w:rsidR="00AA57E8">
        <w:rPr>
          <w:szCs w:val="24"/>
          <w:lang w:val="en-US"/>
        </w:rPr>
        <w:t xml:space="preserve">state rooms of the </w:t>
      </w:r>
      <w:r w:rsidR="000719FD" w:rsidRPr="00480F72">
        <w:rPr>
          <w:szCs w:val="24"/>
          <w:lang w:val="en-US"/>
        </w:rPr>
        <w:t>Residenz,</w:t>
      </w:r>
      <w:r w:rsidR="00AA57E8">
        <w:rPr>
          <w:szCs w:val="24"/>
          <w:lang w:val="en-US"/>
        </w:rPr>
        <w:t xml:space="preserve"> Cathedral Museum a</w:t>
      </w:r>
      <w:r w:rsidR="000719FD" w:rsidRPr="00480F72">
        <w:rPr>
          <w:szCs w:val="24"/>
          <w:lang w:val="en-US"/>
        </w:rPr>
        <w:t>n</w:t>
      </w:r>
      <w:r w:rsidR="0054532A" w:rsidRPr="00480F72">
        <w:rPr>
          <w:szCs w:val="24"/>
          <w:lang w:val="en-US"/>
        </w:rPr>
        <w:t>d Residenz</w:t>
      </w:r>
      <w:r w:rsidR="00AA57E8">
        <w:rPr>
          <w:szCs w:val="24"/>
          <w:lang w:val="en-US"/>
        </w:rPr>
        <w:t xml:space="preserve"> Gallery</w:t>
      </w:r>
      <w:r w:rsidR="0054532A" w:rsidRPr="00480F72">
        <w:rPr>
          <w:szCs w:val="24"/>
          <w:lang w:val="en-US"/>
        </w:rPr>
        <w:t xml:space="preserve">) </w:t>
      </w:r>
      <w:r w:rsidR="00D360B8" w:rsidRPr="00480F72">
        <w:rPr>
          <w:szCs w:val="24"/>
          <w:lang w:val="en-US"/>
        </w:rPr>
        <w:t>125</w:t>
      </w:r>
      <w:r w:rsidR="00AA57E8">
        <w:rPr>
          <w:szCs w:val="24"/>
          <w:lang w:val="en-US"/>
        </w:rPr>
        <w:t>,</w:t>
      </w:r>
      <w:r w:rsidR="00D360B8" w:rsidRPr="00480F72">
        <w:rPr>
          <w:szCs w:val="24"/>
          <w:lang w:val="en-US"/>
        </w:rPr>
        <w:t>208</w:t>
      </w:r>
      <w:r w:rsidR="00246444" w:rsidRPr="00480F72">
        <w:rPr>
          <w:szCs w:val="24"/>
          <w:lang w:val="en-US"/>
        </w:rPr>
        <w:t xml:space="preserve"> (2016</w:t>
      </w:r>
      <w:r w:rsidR="000719FD" w:rsidRPr="00480F72">
        <w:rPr>
          <w:szCs w:val="24"/>
          <w:lang w:val="en-US"/>
        </w:rPr>
        <w:t xml:space="preserve">: </w:t>
      </w:r>
      <w:r w:rsidR="0054532A" w:rsidRPr="00480F72">
        <w:rPr>
          <w:szCs w:val="24"/>
          <w:lang w:val="en-US"/>
        </w:rPr>
        <w:t>127</w:t>
      </w:r>
      <w:r w:rsidR="00AA57E8">
        <w:rPr>
          <w:szCs w:val="24"/>
          <w:lang w:val="en-US"/>
        </w:rPr>
        <w:t>,</w:t>
      </w:r>
      <w:r w:rsidR="0054532A" w:rsidRPr="00480F72">
        <w:rPr>
          <w:szCs w:val="24"/>
          <w:lang w:val="en-US"/>
        </w:rPr>
        <w:t>080</w:t>
      </w:r>
      <w:r w:rsidR="000719FD" w:rsidRPr="00480F72">
        <w:rPr>
          <w:szCs w:val="24"/>
          <w:lang w:val="en-US"/>
        </w:rPr>
        <w:t>)</w:t>
      </w:r>
    </w:p>
    <w:p w:rsidR="000719FD" w:rsidRPr="00480F72" w:rsidRDefault="000719FD" w:rsidP="003A1318">
      <w:pPr>
        <w:numPr>
          <w:ilvl w:val="0"/>
          <w:numId w:val="5"/>
        </w:numPr>
        <w:jc w:val="both"/>
        <w:rPr>
          <w:szCs w:val="24"/>
          <w:lang w:val="en-US"/>
        </w:rPr>
      </w:pPr>
      <w:r w:rsidRPr="00480F72">
        <w:rPr>
          <w:szCs w:val="24"/>
          <w:lang w:val="en-US"/>
        </w:rPr>
        <w:t>Salzburg Museum in</w:t>
      </w:r>
      <w:r w:rsidR="00AA57E8">
        <w:rPr>
          <w:szCs w:val="24"/>
          <w:lang w:val="en-US"/>
        </w:rPr>
        <w:t>c</w:t>
      </w:r>
      <w:r w:rsidRPr="00480F72">
        <w:rPr>
          <w:szCs w:val="24"/>
          <w:lang w:val="en-US"/>
        </w:rPr>
        <w:t>l</w:t>
      </w:r>
      <w:r w:rsidR="00246444" w:rsidRPr="00480F72">
        <w:rPr>
          <w:szCs w:val="24"/>
          <w:lang w:val="en-US"/>
        </w:rPr>
        <w:t xml:space="preserve">. Panorama Museum: </w:t>
      </w:r>
      <w:r w:rsidR="00EB61F8" w:rsidRPr="00480F72">
        <w:rPr>
          <w:szCs w:val="24"/>
          <w:lang w:val="en-US"/>
        </w:rPr>
        <w:t>99</w:t>
      </w:r>
      <w:r w:rsidR="00AA57E8">
        <w:rPr>
          <w:szCs w:val="24"/>
          <w:lang w:val="en-US"/>
        </w:rPr>
        <w:t>,</w:t>
      </w:r>
      <w:r w:rsidR="00EB61F8" w:rsidRPr="00480F72">
        <w:rPr>
          <w:szCs w:val="24"/>
          <w:lang w:val="en-US"/>
        </w:rPr>
        <w:t>732</w:t>
      </w:r>
      <w:r w:rsidR="00246444" w:rsidRPr="00480F72">
        <w:rPr>
          <w:szCs w:val="24"/>
          <w:lang w:val="en-US"/>
        </w:rPr>
        <w:t xml:space="preserve"> (2016</w:t>
      </w:r>
      <w:r w:rsidRPr="00480F72">
        <w:rPr>
          <w:szCs w:val="24"/>
          <w:lang w:val="en-US"/>
        </w:rPr>
        <w:t xml:space="preserve">: </w:t>
      </w:r>
      <w:r w:rsidR="00246444" w:rsidRPr="00480F72">
        <w:rPr>
          <w:szCs w:val="24"/>
          <w:lang w:val="en-US"/>
        </w:rPr>
        <w:t>126</w:t>
      </w:r>
      <w:r w:rsidR="00AA57E8">
        <w:rPr>
          <w:szCs w:val="24"/>
          <w:lang w:val="en-US"/>
        </w:rPr>
        <w:t>,</w:t>
      </w:r>
      <w:r w:rsidR="00246444" w:rsidRPr="00480F72">
        <w:rPr>
          <w:szCs w:val="24"/>
          <w:lang w:val="en-US"/>
        </w:rPr>
        <w:t>010</w:t>
      </w:r>
      <w:r w:rsidR="00EB61F8" w:rsidRPr="00480F72">
        <w:rPr>
          <w:szCs w:val="24"/>
          <w:lang w:val="en-US"/>
        </w:rPr>
        <w:t xml:space="preserve"> – in</w:t>
      </w:r>
      <w:r w:rsidR="00AA57E8">
        <w:rPr>
          <w:szCs w:val="24"/>
          <w:lang w:val="en-US"/>
        </w:rPr>
        <w:t>c</w:t>
      </w:r>
      <w:r w:rsidR="00EB61F8" w:rsidRPr="00480F72">
        <w:rPr>
          <w:szCs w:val="24"/>
          <w:lang w:val="en-US"/>
        </w:rPr>
        <w:t xml:space="preserve">l. </w:t>
      </w:r>
      <w:r w:rsidR="00AA57E8">
        <w:rPr>
          <w:szCs w:val="24"/>
          <w:lang w:val="en-US"/>
        </w:rPr>
        <w:t>Provincial Exhibition</w:t>
      </w:r>
      <w:r w:rsidRPr="00480F72">
        <w:rPr>
          <w:szCs w:val="24"/>
          <w:lang w:val="en-US"/>
        </w:rPr>
        <w:t>)</w:t>
      </w:r>
    </w:p>
    <w:p w:rsidR="000719FD" w:rsidRPr="001C6E9D" w:rsidRDefault="000719FD" w:rsidP="003A1318">
      <w:pPr>
        <w:numPr>
          <w:ilvl w:val="0"/>
          <w:numId w:val="5"/>
        </w:numPr>
        <w:jc w:val="both"/>
        <w:rPr>
          <w:szCs w:val="24"/>
          <w:lang w:val="de-DE"/>
        </w:rPr>
      </w:pPr>
      <w:r w:rsidRPr="001C6E9D">
        <w:rPr>
          <w:szCs w:val="24"/>
          <w:lang w:val="de-DE"/>
        </w:rPr>
        <w:t>Museum der Moderne Mönchsberg/</w:t>
      </w:r>
      <w:proofErr w:type="spellStart"/>
      <w:r w:rsidRPr="001C6E9D">
        <w:rPr>
          <w:szCs w:val="24"/>
          <w:lang w:val="de-DE"/>
        </w:rPr>
        <w:t>Rupertinum</w:t>
      </w:r>
      <w:proofErr w:type="spellEnd"/>
      <w:r w:rsidRPr="001C6E9D">
        <w:rPr>
          <w:szCs w:val="24"/>
          <w:lang w:val="de-DE"/>
        </w:rPr>
        <w:t xml:space="preserve">: </w:t>
      </w:r>
      <w:r w:rsidR="002569A9" w:rsidRPr="001C6E9D">
        <w:rPr>
          <w:szCs w:val="24"/>
          <w:lang w:val="de-DE"/>
        </w:rPr>
        <w:t>115</w:t>
      </w:r>
      <w:r w:rsidR="00AA57E8" w:rsidRPr="001C6E9D">
        <w:rPr>
          <w:szCs w:val="24"/>
          <w:lang w:val="de-DE"/>
        </w:rPr>
        <w:t>,</w:t>
      </w:r>
      <w:r w:rsidR="002569A9" w:rsidRPr="001C6E9D">
        <w:rPr>
          <w:szCs w:val="24"/>
          <w:lang w:val="de-DE"/>
        </w:rPr>
        <w:t>174</w:t>
      </w:r>
      <w:r w:rsidR="002569A9" w:rsidRPr="001C6E9D">
        <w:rPr>
          <w:rFonts w:ascii="Helvetica" w:hAnsi="Helvetica" w:cs="Helvetica"/>
          <w:sz w:val="20"/>
          <w:szCs w:val="20"/>
          <w:lang w:val="de-DE"/>
        </w:rPr>
        <w:t xml:space="preserve"> </w:t>
      </w:r>
      <w:r w:rsidRPr="001C6E9D">
        <w:rPr>
          <w:szCs w:val="24"/>
          <w:lang w:val="de-DE"/>
        </w:rPr>
        <w:t>(201</w:t>
      </w:r>
      <w:r w:rsidR="00246444" w:rsidRPr="001C6E9D">
        <w:rPr>
          <w:szCs w:val="24"/>
          <w:lang w:val="de-DE"/>
        </w:rPr>
        <w:t>6</w:t>
      </w:r>
      <w:r w:rsidRPr="001C6E9D">
        <w:rPr>
          <w:szCs w:val="24"/>
          <w:lang w:val="de-DE"/>
        </w:rPr>
        <w:t xml:space="preserve">: </w:t>
      </w:r>
      <w:r w:rsidR="00246444" w:rsidRPr="001C6E9D">
        <w:rPr>
          <w:szCs w:val="24"/>
          <w:lang w:val="de-DE"/>
        </w:rPr>
        <w:t>104</w:t>
      </w:r>
      <w:r w:rsidR="00AA57E8" w:rsidRPr="001C6E9D">
        <w:rPr>
          <w:szCs w:val="24"/>
          <w:lang w:val="de-DE"/>
        </w:rPr>
        <w:t>,</w:t>
      </w:r>
      <w:r w:rsidR="00246444" w:rsidRPr="001C6E9D">
        <w:rPr>
          <w:szCs w:val="24"/>
          <w:lang w:val="de-DE"/>
        </w:rPr>
        <w:t>000</w:t>
      </w:r>
      <w:r w:rsidRPr="001C6E9D">
        <w:rPr>
          <w:szCs w:val="24"/>
          <w:lang w:val="de-DE"/>
        </w:rPr>
        <w:t>)</w:t>
      </w:r>
    </w:p>
    <w:p w:rsidR="000719FD" w:rsidRPr="00480F72" w:rsidRDefault="005204DF" w:rsidP="003A1318">
      <w:pPr>
        <w:numPr>
          <w:ilvl w:val="0"/>
          <w:numId w:val="5"/>
        </w:numPr>
        <w:jc w:val="both"/>
        <w:rPr>
          <w:szCs w:val="24"/>
          <w:lang w:val="en-US"/>
        </w:rPr>
      </w:pPr>
      <w:proofErr w:type="spellStart"/>
      <w:r w:rsidRPr="00480F72">
        <w:rPr>
          <w:szCs w:val="24"/>
          <w:lang w:val="en-US"/>
        </w:rPr>
        <w:t>Stiegl-</w:t>
      </w:r>
      <w:r w:rsidR="00246444" w:rsidRPr="00480F72">
        <w:rPr>
          <w:szCs w:val="24"/>
          <w:lang w:val="en-US"/>
        </w:rPr>
        <w:t>Brauwelt</w:t>
      </w:r>
      <w:proofErr w:type="spellEnd"/>
      <w:r w:rsidR="00246444" w:rsidRPr="00480F72">
        <w:rPr>
          <w:szCs w:val="24"/>
          <w:lang w:val="en-US"/>
        </w:rPr>
        <w:t xml:space="preserve">: </w:t>
      </w:r>
      <w:r w:rsidR="001F11A0" w:rsidRPr="00480F72">
        <w:rPr>
          <w:szCs w:val="24"/>
          <w:lang w:val="en-US"/>
        </w:rPr>
        <w:t>78</w:t>
      </w:r>
      <w:r w:rsidR="00AA57E8">
        <w:rPr>
          <w:szCs w:val="24"/>
          <w:lang w:val="en-US"/>
        </w:rPr>
        <w:t>,</w:t>
      </w:r>
      <w:r w:rsidR="001F11A0" w:rsidRPr="00480F72">
        <w:rPr>
          <w:szCs w:val="24"/>
          <w:lang w:val="en-US"/>
        </w:rPr>
        <w:t>579</w:t>
      </w:r>
      <w:r w:rsidR="001F11A0" w:rsidRPr="00480F72">
        <w:rPr>
          <w:color w:val="000000"/>
          <w:sz w:val="20"/>
          <w:szCs w:val="20"/>
          <w:lang w:val="en-US"/>
        </w:rPr>
        <w:t xml:space="preserve"> </w:t>
      </w:r>
      <w:r w:rsidR="00246444" w:rsidRPr="00480F72">
        <w:rPr>
          <w:szCs w:val="24"/>
          <w:lang w:val="en-US"/>
        </w:rPr>
        <w:t>(2016</w:t>
      </w:r>
      <w:r w:rsidR="000719FD" w:rsidRPr="00480F72">
        <w:rPr>
          <w:szCs w:val="24"/>
          <w:lang w:val="en-US"/>
        </w:rPr>
        <w:t>: 79</w:t>
      </w:r>
      <w:r w:rsidR="00AA57E8">
        <w:rPr>
          <w:szCs w:val="24"/>
          <w:lang w:val="en-US"/>
        </w:rPr>
        <w:t>,</w:t>
      </w:r>
      <w:r w:rsidR="000719FD" w:rsidRPr="00480F72">
        <w:rPr>
          <w:szCs w:val="24"/>
          <w:lang w:val="en-US"/>
        </w:rPr>
        <w:t xml:space="preserve">500) </w:t>
      </w:r>
    </w:p>
    <w:p w:rsidR="000719FD" w:rsidRPr="00480F72" w:rsidRDefault="00AA57E8" w:rsidP="003A1318">
      <w:pPr>
        <w:numPr>
          <w:ilvl w:val="0"/>
          <w:numId w:val="5"/>
        </w:numPr>
        <w:jc w:val="both"/>
        <w:rPr>
          <w:szCs w:val="24"/>
          <w:lang w:val="en-US"/>
        </w:rPr>
      </w:pPr>
      <w:r>
        <w:rPr>
          <w:szCs w:val="24"/>
          <w:lang w:val="en-US"/>
        </w:rPr>
        <w:t>Toy</w:t>
      </w:r>
      <w:r w:rsidR="005204DF" w:rsidRPr="00480F72">
        <w:rPr>
          <w:szCs w:val="24"/>
          <w:lang w:val="en-US"/>
        </w:rPr>
        <w:t xml:space="preserve"> M</w:t>
      </w:r>
      <w:r w:rsidR="000719FD" w:rsidRPr="00480F72">
        <w:rPr>
          <w:szCs w:val="24"/>
          <w:lang w:val="en-US"/>
        </w:rPr>
        <w:t xml:space="preserve">useum: </w:t>
      </w:r>
      <w:r w:rsidR="00EB61F8" w:rsidRPr="00480F72">
        <w:rPr>
          <w:rFonts w:ascii="Helvetica" w:hAnsi="Helvetica" w:cs="Helvetica"/>
          <w:lang w:val="en-US"/>
        </w:rPr>
        <w:t>74</w:t>
      </w:r>
      <w:r>
        <w:rPr>
          <w:rFonts w:ascii="Helvetica" w:hAnsi="Helvetica" w:cs="Helvetica"/>
          <w:lang w:val="en-US"/>
        </w:rPr>
        <w:t>,</w:t>
      </w:r>
      <w:r w:rsidR="00EB61F8" w:rsidRPr="00480F72">
        <w:rPr>
          <w:rFonts w:ascii="Helvetica" w:hAnsi="Helvetica" w:cs="Helvetica"/>
          <w:lang w:val="en-US"/>
        </w:rPr>
        <w:t>528</w:t>
      </w:r>
      <w:r w:rsidR="00246444" w:rsidRPr="00480F72">
        <w:rPr>
          <w:rFonts w:ascii="Helvetica" w:hAnsi="Helvetica" w:cs="Helvetica"/>
          <w:lang w:val="en-US"/>
        </w:rPr>
        <w:t xml:space="preserve"> (2016</w:t>
      </w:r>
      <w:r w:rsidR="000719FD" w:rsidRPr="00480F72">
        <w:rPr>
          <w:rFonts w:ascii="Helvetica" w:hAnsi="Helvetica" w:cs="Helvetica"/>
          <w:lang w:val="en-US"/>
        </w:rPr>
        <w:t xml:space="preserve">: </w:t>
      </w:r>
      <w:r w:rsidR="00246444" w:rsidRPr="00480F72">
        <w:rPr>
          <w:rFonts w:ascii="Helvetica" w:hAnsi="Helvetica" w:cs="Helvetica"/>
          <w:lang w:val="en-US"/>
        </w:rPr>
        <w:t>72</w:t>
      </w:r>
      <w:r>
        <w:rPr>
          <w:rFonts w:ascii="Helvetica" w:hAnsi="Helvetica" w:cs="Helvetica"/>
          <w:lang w:val="en-US"/>
        </w:rPr>
        <w:t>,</w:t>
      </w:r>
      <w:r w:rsidR="00246444" w:rsidRPr="00480F72">
        <w:rPr>
          <w:rFonts w:ascii="Helvetica" w:hAnsi="Helvetica" w:cs="Helvetica"/>
          <w:lang w:val="en-US"/>
        </w:rPr>
        <w:t>793</w:t>
      </w:r>
      <w:r w:rsidR="000719FD" w:rsidRPr="00480F72">
        <w:rPr>
          <w:szCs w:val="24"/>
          <w:lang w:val="en-US"/>
        </w:rPr>
        <w:t>)</w:t>
      </w:r>
    </w:p>
    <w:p w:rsidR="000719FD" w:rsidRPr="00480F72" w:rsidRDefault="00AA57E8" w:rsidP="003A1318">
      <w:pPr>
        <w:numPr>
          <w:ilvl w:val="0"/>
          <w:numId w:val="5"/>
        </w:numPr>
        <w:jc w:val="both"/>
        <w:rPr>
          <w:szCs w:val="24"/>
          <w:lang w:val="en-US"/>
        </w:rPr>
      </w:pPr>
      <w:r>
        <w:rPr>
          <w:szCs w:val="24"/>
          <w:lang w:val="en-US"/>
        </w:rPr>
        <w:t>Folklore</w:t>
      </w:r>
      <w:r w:rsidR="005204DF" w:rsidRPr="00480F72">
        <w:rPr>
          <w:szCs w:val="24"/>
          <w:lang w:val="en-US"/>
        </w:rPr>
        <w:t xml:space="preserve"> M</w:t>
      </w:r>
      <w:r w:rsidR="000719FD" w:rsidRPr="00480F72">
        <w:rPr>
          <w:szCs w:val="24"/>
          <w:lang w:val="en-US"/>
        </w:rPr>
        <w:t xml:space="preserve">useum: </w:t>
      </w:r>
      <w:r w:rsidR="00EB61F8" w:rsidRPr="00480F72">
        <w:rPr>
          <w:rFonts w:ascii="Helvetica" w:hAnsi="Helvetica" w:cs="Helvetica"/>
          <w:lang w:val="en-US"/>
        </w:rPr>
        <w:t>15</w:t>
      </w:r>
      <w:r>
        <w:rPr>
          <w:rFonts w:ascii="Helvetica" w:hAnsi="Helvetica" w:cs="Helvetica"/>
          <w:lang w:val="en-US"/>
        </w:rPr>
        <w:t>,</w:t>
      </w:r>
      <w:r w:rsidR="00EB61F8" w:rsidRPr="00480F72">
        <w:rPr>
          <w:rFonts w:ascii="Helvetica" w:hAnsi="Helvetica" w:cs="Helvetica"/>
          <w:lang w:val="en-US"/>
        </w:rPr>
        <w:t>550</w:t>
      </w:r>
      <w:r w:rsidR="000719FD" w:rsidRPr="00480F72">
        <w:rPr>
          <w:rFonts w:ascii="Helvetica" w:hAnsi="Helvetica" w:cs="Helvetica"/>
          <w:lang w:val="en-US"/>
        </w:rPr>
        <w:t xml:space="preserve"> (201</w:t>
      </w:r>
      <w:r w:rsidR="00246444" w:rsidRPr="00480F72">
        <w:rPr>
          <w:rFonts w:ascii="Helvetica" w:hAnsi="Helvetica" w:cs="Helvetica"/>
          <w:lang w:val="en-US"/>
        </w:rPr>
        <w:t>6</w:t>
      </w:r>
      <w:r w:rsidR="000719FD" w:rsidRPr="00480F72">
        <w:rPr>
          <w:rFonts w:ascii="Helvetica" w:hAnsi="Helvetica" w:cs="Helvetica"/>
          <w:lang w:val="en-US"/>
        </w:rPr>
        <w:t xml:space="preserve">: </w:t>
      </w:r>
      <w:r w:rsidR="00246444" w:rsidRPr="00480F72">
        <w:rPr>
          <w:rFonts w:ascii="Helvetica" w:hAnsi="Helvetica" w:cs="Helvetica"/>
          <w:lang w:val="en-US"/>
        </w:rPr>
        <w:t>16</w:t>
      </w:r>
      <w:r>
        <w:rPr>
          <w:rFonts w:ascii="Helvetica" w:hAnsi="Helvetica" w:cs="Helvetica"/>
          <w:lang w:val="en-US"/>
        </w:rPr>
        <w:t>,</w:t>
      </w:r>
      <w:r w:rsidR="00246444" w:rsidRPr="00480F72">
        <w:rPr>
          <w:rFonts w:ascii="Helvetica" w:hAnsi="Helvetica" w:cs="Helvetica"/>
          <w:lang w:val="en-US"/>
        </w:rPr>
        <w:t>256</w:t>
      </w:r>
      <w:r w:rsidR="000719FD" w:rsidRPr="00480F72">
        <w:rPr>
          <w:szCs w:val="24"/>
          <w:lang w:val="en-US"/>
        </w:rPr>
        <w:t xml:space="preserve">) </w:t>
      </w:r>
    </w:p>
    <w:p w:rsidR="001C6E9D" w:rsidRDefault="001C6E9D" w:rsidP="003A1318">
      <w:pPr>
        <w:jc w:val="both"/>
        <w:outlineLvl w:val="0"/>
        <w:rPr>
          <w:b/>
          <w:lang w:val="en-US"/>
        </w:rPr>
      </w:pPr>
    </w:p>
    <w:p w:rsidR="001C6E9D" w:rsidRDefault="001C6E9D" w:rsidP="003A1318">
      <w:pPr>
        <w:jc w:val="both"/>
        <w:outlineLvl w:val="0"/>
        <w:rPr>
          <w:b/>
          <w:lang w:val="en-US"/>
        </w:rPr>
      </w:pPr>
    </w:p>
    <w:p w:rsidR="000719FD" w:rsidRPr="00480F72" w:rsidRDefault="00AA57E8" w:rsidP="003A1318">
      <w:pPr>
        <w:jc w:val="both"/>
        <w:outlineLvl w:val="0"/>
        <w:rPr>
          <w:b/>
          <w:lang w:val="en-US"/>
        </w:rPr>
      </w:pPr>
      <w:r>
        <w:rPr>
          <w:b/>
          <w:lang w:val="en-US"/>
        </w:rPr>
        <w:lastRenderedPageBreak/>
        <w:t>Dining</w:t>
      </w:r>
    </w:p>
    <w:p w:rsidR="000719FD" w:rsidRDefault="008E5903" w:rsidP="003A1318">
      <w:pPr>
        <w:jc w:val="both"/>
        <w:outlineLvl w:val="0"/>
        <w:rPr>
          <w:lang w:val="en-US"/>
        </w:rPr>
      </w:pPr>
      <w:r w:rsidRPr="00480F72">
        <w:rPr>
          <w:lang w:val="en-US"/>
        </w:rPr>
        <w:t xml:space="preserve">Salzburg </w:t>
      </w:r>
      <w:r w:rsidR="00AA57E8">
        <w:rPr>
          <w:lang w:val="en-US"/>
        </w:rPr>
        <w:t>boasts over 1</w:t>
      </w:r>
      <w:r w:rsidR="002F34CA">
        <w:rPr>
          <w:lang w:val="en-US"/>
        </w:rPr>
        <w:t>,</w:t>
      </w:r>
      <w:r w:rsidR="00AA57E8">
        <w:rPr>
          <w:lang w:val="en-US"/>
        </w:rPr>
        <w:t xml:space="preserve">000 dining establishments, including 166 cafés and café-restaurants, 62 inns, 225 restaurants </w:t>
      </w:r>
      <w:r w:rsidR="004907B5">
        <w:rPr>
          <w:lang w:val="en-US"/>
        </w:rPr>
        <w:t xml:space="preserve">as well as 114 bars and nightclubs. 26 restaurants in and near the city were awarded “toques” by renowned gourmet guide </w:t>
      </w:r>
      <w:r w:rsidR="000719FD" w:rsidRPr="00480F72">
        <w:rPr>
          <w:lang w:val="en-US"/>
        </w:rPr>
        <w:t>Gault Mil</w:t>
      </w:r>
      <w:r w:rsidRPr="00480F72">
        <w:rPr>
          <w:lang w:val="en-US"/>
        </w:rPr>
        <w:t xml:space="preserve">lau </w:t>
      </w:r>
      <w:r w:rsidR="004907B5">
        <w:rPr>
          <w:lang w:val="en-US"/>
        </w:rPr>
        <w:t>in 2017 (</w:t>
      </w:r>
      <w:r w:rsidR="00290BE5">
        <w:rPr>
          <w:lang w:val="en-US"/>
        </w:rPr>
        <w:t>three</w:t>
      </w:r>
      <w:r w:rsidR="004907B5">
        <w:rPr>
          <w:lang w:val="en-US"/>
        </w:rPr>
        <w:t xml:space="preserve"> restaurants received three toques, </w:t>
      </w:r>
      <w:r w:rsidR="00290BE5">
        <w:rPr>
          <w:lang w:val="en-US"/>
        </w:rPr>
        <w:t>nine</w:t>
      </w:r>
      <w:r w:rsidR="004907B5">
        <w:rPr>
          <w:lang w:val="en-US"/>
        </w:rPr>
        <w:t xml:space="preserve"> received two toques, while 14 establishments were each awarded one toque). </w:t>
      </w:r>
      <w:r w:rsidR="000719FD" w:rsidRPr="00480F72">
        <w:rPr>
          <w:lang w:val="en-US"/>
        </w:rPr>
        <w:t xml:space="preserve">Guide Michelin </w:t>
      </w:r>
      <w:r w:rsidR="004907B5">
        <w:rPr>
          <w:lang w:val="en-US"/>
        </w:rPr>
        <w:t xml:space="preserve">has awarded </w:t>
      </w:r>
      <w:r w:rsidR="00290BE5">
        <w:rPr>
          <w:lang w:val="en-US"/>
        </w:rPr>
        <w:t>two</w:t>
      </w:r>
      <w:r w:rsidR="004907B5">
        <w:rPr>
          <w:lang w:val="en-US"/>
        </w:rPr>
        <w:t xml:space="preserve"> restaurants in Salzburg </w:t>
      </w:r>
      <w:r w:rsidR="002F34CA">
        <w:rPr>
          <w:lang w:val="en-US"/>
        </w:rPr>
        <w:t>C</w:t>
      </w:r>
      <w:r w:rsidR="004907B5">
        <w:rPr>
          <w:lang w:val="en-US"/>
        </w:rPr>
        <w:t xml:space="preserve">ity </w:t>
      </w:r>
      <w:r w:rsidR="002F34CA">
        <w:rPr>
          <w:lang w:val="en-US"/>
        </w:rPr>
        <w:t>two</w:t>
      </w:r>
      <w:r w:rsidR="004907B5">
        <w:rPr>
          <w:lang w:val="en-US"/>
        </w:rPr>
        <w:t xml:space="preserve"> stars, </w:t>
      </w:r>
      <w:r w:rsidR="00290BE5">
        <w:rPr>
          <w:lang w:val="en-US"/>
        </w:rPr>
        <w:t>while two</w:t>
      </w:r>
      <w:bookmarkStart w:id="0" w:name="_GoBack"/>
      <w:bookmarkEnd w:id="0"/>
      <w:r w:rsidR="004907B5">
        <w:rPr>
          <w:lang w:val="en-US"/>
        </w:rPr>
        <w:t xml:space="preserve"> other restaurants have received one star each</w:t>
      </w:r>
      <w:r w:rsidR="000719FD" w:rsidRPr="00480F72">
        <w:rPr>
          <w:lang w:val="en-US"/>
        </w:rPr>
        <w:t>.</w:t>
      </w:r>
    </w:p>
    <w:p w:rsidR="001C6E9D" w:rsidRPr="00480F72" w:rsidRDefault="001C6E9D" w:rsidP="003A1318">
      <w:pPr>
        <w:jc w:val="both"/>
        <w:outlineLvl w:val="0"/>
        <w:rPr>
          <w:lang w:val="en-US"/>
        </w:rPr>
      </w:pPr>
    </w:p>
    <w:p w:rsidR="000719FD" w:rsidRPr="00480F72" w:rsidRDefault="004907B5" w:rsidP="003A1318">
      <w:pPr>
        <w:jc w:val="both"/>
        <w:outlineLvl w:val="0"/>
        <w:rPr>
          <w:b/>
          <w:lang w:val="en-US"/>
        </w:rPr>
      </w:pPr>
      <w:r>
        <w:rPr>
          <w:b/>
          <w:lang w:val="en-US"/>
        </w:rPr>
        <w:t xml:space="preserve">Guided City Tours </w:t>
      </w:r>
    </w:p>
    <w:p w:rsidR="000719FD" w:rsidRDefault="002F34CA" w:rsidP="003A1318">
      <w:pPr>
        <w:jc w:val="both"/>
        <w:rPr>
          <w:lang w:val="en-US"/>
        </w:rPr>
      </w:pPr>
      <w:r>
        <w:rPr>
          <w:lang w:val="en-US"/>
        </w:rPr>
        <w:t>O</w:t>
      </w:r>
      <w:r w:rsidR="004907B5">
        <w:rPr>
          <w:lang w:val="en-US"/>
        </w:rPr>
        <w:t xml:space="preserve">ver 150 active, certified city guides offer their services to tourists. Guided tours are </w:t>
      </w:r>
      <w:r>
        <w:rPr>
          <w:lang w:val="en-US"/>
        </w:rPr>
        <w:t>given</w:t>
      </w:r>
      <w:r w:rsidR="004907B5">
        <w:rPr>
          <w:lang w:val="en-US"/>
        </w:rPr>
        <w:t xml:space="preserve"> on foot, by bicycle, by horse-drawn carriage as well as by minibus. A standard tour lasts approximately 2.5 hours. In addition, separate tours are offered on special topics ranging from architecture to Mozart, breweries and pubs, as well as folk culture</w:t>
      </w:r>
      <w:r w:rsidR="006C285D" w:rsidRPr="00480F72">
        <w:rPr>
          <w:lang w:val="en-US"/>
        </w:rPr>
        <w:t>.</w:t>
      </w:r>
    </w:p>
    <w:p w:rsidR="001C6E9D" w:rsidRPr="00480F72" w:rsidRDefault="001C6E9D" w:rsidP="003A1318">
      <w:pPr>
        <w:jc w:val="both"/>
        <w:rPr>
          <w:lang w:val="en-US"/>
        </w:rPr>
      </w:pPr>
    </w:p>
    <w:p w:rsidR="000719FD" w:rsidRPr="00480F72" w:rsidRDefault="00C510CC" w:rsidP="003A1318">
      <w:pPr>
        <w:jc w:val="both"/>
        <w:rPr>
          <w:b/>
          <w:bCs/>
          <w:lang w:val="en-US"/>
        </w:rPr>
      </w:pPr>
      <w:r w:rsidRPr="00480F72">
        <w:rPr>
          <w:b/>
          <w:bCs/>
          <w:lang w:val="en-US"/>
        </w:rPr>
        <w:t>Salzburg Card</w:t>
      </w:r>
    </w:p>
    <w:p w:rsidR="00002A32" w:rsidRDefault="004907B5" w:rsidP="003A1318">
      <w:pPr>
        <w:jc w:val="both"/>
        <w:rPr>
          <w:lang w:val="en-US"/>
        </w:rPr>
      </w:pPr>
      <w:r>
        <w:rPr>
          <w:lang w:val="en-US"/>
        </w:rPr>
        <w:t xml:space="preserve">This card provides one-time free admission to all sightseeing attractions and museums in the city and includes travel on public transportation. Furthermore, it can be used to take advantage of many other discounts </w:t>
      </w:r>
      <w:r w:rsidR="002F34CA">
        <w:rPr>
          <w:lang w:val="en-US"/>
        </w:rPr>
        <w:t>that are</w:t>
      </w:r>
      <w:r>
        <w:rPr>
          <w:lang w:val="en-US"/>
        </w:rPr>
        <w:t xml:space="preserve"> available in Salzburg City and Salzburger Land</w:t>
      </w:r>
      <w:r w:rsidR="000719FD" w:rsidRPr="00480F72">
        <w:rPr>
          <w:lang w:val="en-US"/>
        </w:rPr>
        <w:t xml:space="preserve">. </w:t>
      </w:r>
      <w:r>
        <w:rPr>
          <w:lang w:val="en-US"/>
        </w:rPr>
        <w:t xml:space="preserve">In 2017, 233,742 </w:t>
      </w:r>
      <w:r w:rsidR="00002A32" w:rsidRPr="00480F72">
        <w:rPr>
          <w:lang w:val="en-US"/>
        </w:rPr>
        <w:t>(2016: 206</w:t>
      </w:r>
      <w:r>
        <w:rPr>
          <w:lang w:val="en-US"/>
        </w:rPr>
        <w:t>,</w:t>
      </w:r>
      <w:r w:rsidR="00002A32" w:rsidRPr="00480F72">
        <w:rPr>
          <w:lang w:val="en-US"/>
        </w:rPr>
        <w:t xml:space="preserve">522) </w:t>
      </w:r>
      <w:r>
        <w:rPr>
          <w:lang w:val="en-US"/>
        </w:rPr>
        <w:t xml:space="preserve">cards were sold, which in turn generated </w:t>
      </w:r>
      <w:r w:rsidR="00720732" w:rsidRPr="00480F72">
        <w:rPr>
          <w:lang w:val="en-US"/>
        </w:rPr>
        <w:t>1</w:t>
      </w:r>
      <w:r>
        <w:rPr>
          <w:lang w:val="en-US"/>
        </w:rPr>
        <w:t>,</w:t>
      </w:r>
      <w:r w:rsidR="00720732" w:rsidRPr="00480F72">
        <w:rPr>
          <w:lang w:val="en-US"/>
        </w:rPr>
        <w:t>548</w:t>
      </w:r>
      <w:r>
        <w:rPr>
          <w:lang w:val="en-US"/>
        </w:rPr>
        <w:t>,</w:t>
      </w:r>
      <w:r w:rsidR="00720732" w:rsidRPr="00480F72">
        <w:rPr>
          <w:lang w:val="en-US"/>
        </w:rPr>
        <w:t>850</w:t>
      </w:r>
      <w:r>
        <w:rPr>
          <w:lang w:val="en-US"/>
        </w:rPr>
        <w:t xml:space="preserve"> admissions </w:t>
      </w:r>
      <w:r w:rsidR="006C285D" w:rsidRPr="00480F72">
        <w:rPr>
          <w:lang w:val="en-US"/>
        </w:rPr>
        <w:t xml:space="preserve">(plus </w:t>
      </w:r>
      <w:r w:rsidR="00720732" w:rsidRPr="00480F72">
        <w:rPr>
          <w:lang w:val="en-US"/>
        </w:rPr>
        <w:t>8</w:t>
      </w:r>
      <w:r>
        <w:rPr>
          <w:lang w:val="en-US"/>
        </w:rPr>
        <w:t>.</w:t>
      </w:r>
      <w:r w:rsidR="006C285D" w:rsidRPr="00480F72">
        <w:rPr>
          <w:lang w:val="en-US"/>
        </w:rPr>
        <w:t>6%</w:t>
      </w:r>
      <w:r>
        <w:rPr>
          <w:lang w:val="en-US"/>
        </w:rPr>
        <w:t xml:space="preserve"> compared to </w:t>
      </w:r>
      <w:r w:rsidR="006C285D" w:rsidRPr="00480F72">
        <w:rPr>
          <w:lang w:val="en-US"/>
        </w:rPr>
        <w:t>201</w:t>
      </w:r>
      <w:r w:rsidR="002973FA" w:rsidRPr="00480F72">
        <w:rPr>
          <w:lang w:val="en-US"/>
        </w:rPr>
        <w:t>6</w:t>
      </w:r>
      <w:r w:rsidR="006C285D" w:rsidRPr="00480F72">
        <w:rPr>
          <w:lang w:val="en-US"/>
        </w:rPr>
        <w:t>)</w:t>
      </w:r>
      <w:r w:rsidR="00002A32" w:rsidRPr="00480F72">
        <w:rPr>
          <w:lang w:val="en-US"/>
        </w:rPr>
        <w:t xml:space="preserve">. </w:t>
      </w:r>
      <w:r>
        <w:rPr>
          <w:lang w:val="en-US"/>
        </w:rPr>
        <w:t>This benefited museums and sightseeing attractions by €4.78 million</w:t>
      </w:r>
      <w:r w:rsidR="00720732" w:rsidRPr="00480F72">
        <w:rPr>
          <w:lang w:val="en-US"/>
        </w:rPr>
        <w:t xml:space="preserve"> (+11</w:t>
      </w:r>
      <w:r>
        <w:rPr>
          <w:lang w:val="en-US"/>
        </w:rPr>
        <w:t>.</w:t>
      </w:r>
      <w:r w:rsidR="00720732" w:rsidRPr="00480F72">
        <w:rPr>
          <w:lang w:val="en-US"/>
        </w:rPr>
        <w:t>3</w:t>
      </w:r>
      <w:r w:rsidR="00650D52" w:rsidRPr="00480F72">
        <w:rPr>
          <w:lang w:val="en-US"/>
        </w:rPr>
        <w:t>%).</w:t>
      </w:r>
    </w:p>
    <w:p w:rsidR="001C6E9D" w:rsidRPr="00480F72" w:rsidRDefault="001C6E9D" w:rsidP="003A1318">
      <w:pPr>
        <w:jc w:val="both"/>
        <w:rPr>
          <w:lang w:val="en-US"/>
        </w:rPr>
      </w:pPr>
    </w:p>
    <w:p w:rsidR="000719FD" w:rsidRPr="00480F72" w:rsidRDefault="00C510CC" w:rsidP="003A1318">
      <w:pPr>
        <w:jc w:val="both"/>
        <w:rPr>
          <w:lang w:val="en-US"/>
        </w:rPr>
      </w:pPr>
      <w:r w:rsidRPr="00480F72">
        <w:rPr>
          <w:b/>
          <w:lang w:val="en-US"/>
        </w:rPr>
        <w:t>Salzburg Congress</w:t>
      </w:r>
      <w:r w:rsidR="006C285D" w:rsidRPr="00480F72">
        <w:rPr>
          <w:b/>
          <w:lang w:val="en-US"/>
        </w:rPr>
        <w:t xml:space="preserve"> </w:t>
      </w:r>
      <w:r w:rsidR="004907B5">
        <w:rPr>
          <w:b/>
          <w:lang w:val="en-US"/>
        </w:rPr>
        <w:t>a</w:t>
      </w:r>
      <w:r w:rsidR="006C285D" w:rsidRPr="00480F72">
        <w:rPr>
          <w:b/>
          <w:lang w:val="en-US"/>
        </w:rPr>
        <w:t>nd Messezentrum Salzburg</w:t>
      </w:r>
    </w:p>
    <w:p w:rsidR="000719FD" w:rsidRDefault="00C4542F" w:rsidP="003A1318">
      <w:pPr>
        <w:jc w:val="both"/>
        <w:rPr>
          <w:lang w:val="en-US"/>
        </w:rPr>
      </w:pPr>
      <w:r>
        <w:rPr>
          <w:lang w:val="en-US"/>
        </w:rPr>
        <w:t>In</w:t>
      </w:r>
      <w:r w:rsidR="000719FD" w:rsidRPr="00480F72">
        <w:rPr>
          <w:lang w:val="en-US"/>
        </w:rPr>
        <w:t xml:space="preserve"> 201</w:t>
      </w:r>
      <w:r w:rsidR="002973FA" w:rsidRPr="00480F72">
        <w:rPr>
          <w:lang w:val="en-US"/>
        </w:rPr>
        <w:t>7</w:t>
      </w:r>
      <w:r>
        <w:rPr>
          <w:lang w:val="en-US"/>
        </w:rPr>
        <w:t xml:space="preserve">, </w:t>
      </w:r>
      <w:r w:rsidR="005A20C2" w:rsidRPr="00480F72">
        <w:rPr>
          <w:lang w:val="en-US"/>
        </w:rPr>
        <w:t>103</w:t>
      </w:r>
      <w:r w:rsidR="002973FA" w:rsidRPr="00480F72">
        <w:rPr>
          <w:lang w:val="en-US"/>
        </w:rPr>
        <w:t xml:space="preserve"> (2016</w:t>
      </w:r>
      <w:r w:rsidR="000719FD" w:rsidRPr="00480F72">
        <w:rPr>
          <w:lang w:val="en-US"/>
        </w:rPr>
        <w:t>: 1</w:t>
      </w:r>
      <w:r w:rsidR="002973FA" w:rsidRPr="00480F72">
        <w:rPr>
          <w:lang w:val="en-US"/>
        </w:rPr>
        <w:t>16</w:t>
      </w:r>
      <w:r w:rsidR="000719FD" w:rsidRPr="00480F72">
        <w:rPr>
          <w:lang w:val="en-US"/>
        </w:rPr>
        <w:t>)</w:t>
      </w:r>
      <w:r>
        <w:rPr>
          <w:lang w:val="en-US"/>
        </w:rPr>
        <w:t xml:space="preserve"> events with around 98,000 visitors were held at </w:t>
      </w:r>
      <w:r w:rsidR="002973FA" w:rsidRPr="00480F72">
        <w:rPr>
          <w:lang w:val="en-US"/>
        </w:rPr>
        <w:t xml:space="preserve">Salzburg Congress. </w:t>
      </w:r>
      <w:r w:rsidR="002605F7">
        <w:rPr>
          <w:lang w:val="en-US"/>
        </w:rPr>
        <w:t xml:space="preserve">The average </w:t>
      </w:r>
      <w:r w:rsidR="002F34CA">
        <w:rPr>
          <w:lang w:val="en-US"/>
        </w:rPr>
        <w:t>duration</w:t>
      </w:r>
      <w:r w:rsidR="002605F7">
        <w:rPr>
          <w:lang w:val="en-US"/>
        </w:rPr>
        <w:t xml:space="preserve"> of </w:t>
      </w:r>
      <w:r w:rsidR="002F34CA">
        <w:rPr>
          <w:lang w:val="en-US"/>
        </w:rPr>
        <w:t xml:space="preserve">an </w:t>
      </w:r>
      <w:r w:rsidR="002605F7">
        <w:rPr>
          <w:lang w:val="en-US"/>
        </w:rPr>
        <w:t xml:space="preserve">event in 2017 was 1.71 days – as compared with 1.88 days in 2016. In turn, this resulted in 213 </w:t>
      </w:r>
      <w:r w:rsidR="002973FA" w:rsidRPr="00480F72">
        <w:rPr>
          <w:lang w:val="en-US"/>
        </w:rPr>
        <w:t>(2016</w:t>
      </w:r>
      <w:r w:rsidR="000719FD" w:rsidRPr="00480F72">
        <w:rPr>
          <w:lang w:val="en-US"/>
        </w:rPr>
        <w:t xml:space="preserve">: </w:t>
      </w:r>
      <w:r w:rsidR="002973FA" w:rsidRPr="00480F72">
        <w:rPr>
          <w:lang w:val="en-US"/>
        </w:rPr>
        <w:t>219</w:t>
      </w:r>
      <w:r w:rsidR="000719FD" w:rsidRPr="00480F72">
        <w:rPr>
          <w:lang w:val="en-US"/>
        </w:rPr>
        <w:t xml:space="preserve">) </w:t>
      </w:r>
      <w:r w:rsidR="002605F7">
        <w:rPr>
          <w:lang w:val="en-US"/>
        </w:rPr>
        <w:t>utilization days at the congress center and generated approximately 31,300 overnights</w:t>
      </w:r>
      <w:r w:rsidR="000719FD" w:rsidRPr="00480F72">
        <w:rPr>
          <w:lang w:val="en-US"/>
        </w:rPr>
        <w:t>.</w:t>
      </w:r>
    </w:p>
    <w:p w:rsidR="000719FD" w:rsidRDefault="002C5F48" w:rsidP="003A1318">
      <w:pPr>
        <w:jc w:val="both"/>
        <w:rPr>
          <w:lang w:val="en-US"/>
        </w:rPr>
      </w:pPr>
      <w:proofErr w:type="spellStart"/>
      <w:r w:rsidRPr="00480F72">
        <w:rPr>
          <w:lang w:val="en-US"/>
        </w:rPr>
        <w:t>Messezentrum</w:t>
      </w:r>
      <w:proofErr w:type="spellEnd"/>
      <w:r w:rsidRPr="00480F72">
        <w:rPr>
          <w:lang w:val="en-US"/>
        </w:rPr>
        <w:t xml:space="preserve"> Salzburg </w:t>
      </w:r>
      <w:r w:rsidR="002605F7">
        <w:rPr>
          <w:lang w:val="en-US"/>
        </w:rPr>
        <w:t>and the</w:t>
      </w:r>
      <w:r w:rsidRPr="00480F72">
        <w:rPr>
          <w:lang w:val="en-US"/>
        </w:rPr>
        <w:t xml:space="preserve"> Salzburgarena </w:t>
      </w:r>
      <w:r w:rsidR="002605F7">
        <w:rPr>
          <w:lang w:val="en-US"/>
        </w:rPr>
        <w:t>hosted 98 events in the previous year with around 636,000 visitors</w:t>
      </w:r>
      <w:r w:rsidR="000719FD" w:rsidRPr="00480F72">
        <w:rPr>
          <w:lang w:val="en-US"/>
        </w:rPr>
        <w:t xml:space="preserve">. </w:t>
      </w:r>
    </w:p>
    <w:p w:rsidR="001C6E9D" w:rsidRPr="00480F72" w:rsidRDefault="001C6E9D" w:rsidP="003A1318">
      <w:pPr>
        <w:jc w:val="both"/>
        <w:rPr>
          <w:lang w:val="en-US"/>
        </w:rPr>
      </w:pPr>
    </w:p>
    <w:p w:rsidR="000719FD" w:rsidRPr="00480F72" w:rsidRDefault="000719FD" w:rsidP="003A1318">
      <w:pPr>
        <w:jc w:val="both"/>
        <w:rPr>
          <w:b/>
          <w:bCs/>
          <w:lang w:val="en-US"/>
        </w:rPr>
      </w:pPr>
      <w:r w:rsidRPr="00480F72">
        <w:rPr>
          <w:b/>
          <w:bCs/>
          <w:lang w:val="en-US"/>
        </w:rPr>
        <w:t>Salzburg W.</w:t>
      </w:r>
      <w:r w:rsidR="002605F7">
        <w:rPr>
          <w:b/>
          <w:bCs/>
          <w:lang w:val="en-US"/>
        </w:rPr>
        <w:t xml:space="preserve"> </w:t>
      </w:r>
      <w:r w:rsidRPr="00480F72">
        <w:rPr>
          <w:b/>
          <w:bCs/>
          <w:lang w:val="en-US"/>
        </w:rPr>
        <w:t>A. Mozart</w:t>
      </w:r>
      <w:r w:rsidR="002605F7">
        <w:rPr>
          <w:b/>
          <w:bCs/>
          <w:lang w:val="en-US"/>
        </w:rPr>
        <w:t xml:space="preserve"> Airport</w:t>
      </w:r>
    </w:p>
    <w:p w:rsidR="000719FD" w:rsidRPr="00480F72" w:rsidRDefault="002605F7" w:rsidP="003A1318">
      <w:pPr>
        <w:jc w:val="both"/>
        <w:rPr>
          <w:bCs/>
          <w:lang w:val="en-US"/>
        </w:rPr>
      </w:pPr>
      <w:r>
        <w:rPr>
          <w:bCs/>
          <w:lang w:val="en-US"/>
        </w:rPr>
        <w:t xml:space="preserve">In 2017, </w:t>
      </w:r>
      <w:r w:rsidR="000B0D44" w:rsidRPr="00480F72">
        <w:rPr>
          <w:bCs/>
          <w:lang w:val="en-US"/>
        </w:rPr>
        <w:t>1</w:t>
      </w:r>
      <w:r>
        <w:rPr>
          <w:bCs/>
          <w:lang w:val="en-US"/>
        </w:rPr>
        <w:t>,</w:t>
      </w:r>
      <w:r w:rsidR="000B0D44" w:rsidRPr="00480F72">
        <w:rPr>
          <w:bCs/>
          <w:lang w:val="en-US"/>
        </w:rPr>
        <w:t>890</w:t>
      </w:r>
      <w:r>
        <w:rPr>
          <w:bCs/>
          <w:lang w:val="en-US"/>
        </w:rPr>
        <w:t>,</w:t>
      </w:r>
      <w:r w:rsidR="000B0D44" w:rsidRPr="00480F72">
        <w:rPr>
          <w:bCs/>
          <w:lang w:val="en-US"/>
        </w:rPr>
        <w:t>164 (2016: 1</w:t>
      </w:r>
      <w:r>
        <w:rPr>
          <w:bCs/>
          <w:lang w:val="en-US"/>
        </w:rPr>
        <w:t>,</w:t>
      </w:r>
      <w:r w:rsidR="000B0D44" w:rsidRPr="00480F72">
        <w:rPr>
          <w:bCs/>
          <w:lang w:val="en-US"/>
        </w:rPr>
        <w:t>739</w:t>
      </w:r>
      <w:r>
        <w:rPr>
          <w:bCs/>
          <w:lang w:val="en-US"/>
        </w:rPr>
        <w:t>,</w:t>
      </w:r>
      <w:r w:rsidR="000B0D44" w:rsidRPr="00480F72">
        <w:rPr>
          <w:bCs/>
          <w:lang w:val="en-US"/>
        </w:rPr>
        <w:t>288</w:t>
      </w:r>
      <w:r w:rsidR="000719FD" w:rsidRPr="00480F72">
        <w:rPr>
          <w:bCs/>
          <w:lang w:val="en-US"/>
        </w:rPr>
        <w:t>)</w:t>
      </w:r>
      <w:r>
        <w:rPr>
          <w:bCs/>
          <w:lang w:val="en-US"/>
        </w:rPr>
        <w:t xml:space="preserve"> passengers were processed. This corresponds to an increase of 8.7%. With regards to airline traffic, passenger volume increased by 10.2% to 1,513,741 </w:t>
      </w:r>
      <w:r w:rsidR="000719FD" w:rsidRPr="00480F72">
        <w:rPr>
          <w:bCs/>
          <w:lang w:val="en-US"/>
        </w:rPr>
        <w:t>(201</w:t>
      </w:r>
      <w:r w:rsidR="000B0D44" w:rsidRPr="00480F72">
        <w:rPr>
          <w:bCs/>
          <w:lang w:val="en-US"/>
        </w:rPr>
        <w:t>6</w:t>
      </w:r>
      <w:r w:rsidR="000719FD" w:rsidRPr="00480F72">
        <w:rPr>
          <w:bCs/>
          <w:lang w:val="en-US"/>
        </w:rPr>
        <w:t>: 1</w:t>
      </w:r>
      <w:r>
        <w:rPr>
          <w:bCs/>
          <w:lang w:val="en-US"/>
        </w:rPr>
        <w:t>,</w:t>
      </w:r>
      <w:r w:rsidR="000B0D44" w:rsidRPr="00480F72">
        <w:rPr>
          <w:bCs/>
          <w:lang w:val="en-US"/>
        </w:rPr>
        <w:t>373</w:t>
      </w:r>
      <w:r>
        <w:rPr>
          <w:bCs/>
          <w:lang w:val="en-US"/>
        </w:rPr>
        <w:t>,</w:t>
      </w:r>
      <w:r w:rsidR="000B0D44" w:rsidRPr="00480F72">
        <w:rPr>
          <w:bCs/>
          <w:lang w:val="en-US"/>
        </w:rPr>
        <w:t>454</w:t>
      </w:r>
      <w:r w:rsidR="000719FD" w:rsidRPr="00480F72">
        <w:rPr>
          <w:bCs/>
          <w:lang w:val="en-US"/>
        </w:rPr>
        <w:t>).</w:t>
      </w:r>
      <w:r>
        <w:rPr>
          <w:bCs/>
          <w:lang w:val="en-US"/>
        </w:rPr>
        <w:t xml:space="preserve"> Airfreight (including airfreight alternative transportation</w:t>
      </w:r>
      <w:r w:rsidR="002C5F48" w:rsidRPr="00480F72">
        <w:rPr>
          <w:bCs/>
          <w:lang w:val="en-US"/>
        </w:rPr>
        <w:t>)</w:t>
      </w:r>
      <w:r w:rsidR="00A130F3" w:rsidRPr="00480F72">
        <w:rPr>
          <w:bCs/>
          <w:lang w:val="en-US"/>
        </w:rPr>
        <w:t xml:space="preserve"> </w:t>
      </w:r>
      <w:r>
        <w:rPr>
          <w:bCs/>
          <w:lang w:val="en-US"/>
        </w:rPr>
        <w:t xml:space="preserve">likewise showed positive developments, recording an increase of 6.2% to </w:t>
      </w:r>
      <w:r w:rsidR="002C5F48" w:rsidRPr="00480F72">
        <w:rPr>
          <w:bCs/>
          <w:lang w:val="en-US"/>
        </w:rPr>
        <w:t>12</w:t>
      </w:r>
      <w:r>
        <w:rPr>
          <w:bCs/>
          <w:lang w:val="en-US"/>
        </w:rPr>
        <w:t>,</w:t>
      </w:r>
      <w:r w:rsidR="002C5F48" w:rsidRPr="00480F72">
        <w:rPr>
          <w:bCs/>
          <w:lang w:val="en-US"/>
        </w:rPr>
        <w:t>673</w:t>
      </w:r>
      <w:r>
        <w:rPr>
          <w:bCs/>
          <w:lang w:val="en-US"/>
        </w:rPr>
        <w:t>,</w:t>
      </w:r>
      <w:r w:rsidR="002C5F48" w:rsidRPr="00480F72">
        <w:rPr>
          <w:bCs/>
          <w:lang w:val="en-US"/>
        </w:rPr>
        <w:t>414 kg</w:t>
      </w:r>
      <w:r w:rsidR="00A130F3" w:rsidRPr="00480F72">
        <w:rPr>
          <w:bCs/>
          <w:lang w:val="en-US"/>
        </w:rPr>
        <w:t>.</w:t>
      </w:r>
    </w:p>
    <w:p w:rsidR="001C6E9D" w:rsidRDefault="001C6E9D" w:rsidP="003A1318">
      <w:pPr>
        <w:jc w:val="both"/>
        <w:rPr>
          <w:lang w:val="en-US"/>
        </w:rPr>
      </w:pPr>
    </w:p>
    <w:p w:rsidR="000719FD" w:rsidRPr="00480F72" w:rsidRDefault="002605F7" w:rsidP="003A1318">
      <w:pPr>
        <w:jc w:val="both"/>
        <w:rPr>
          <w:lang w:val="en-US"/>
        </w:rPr>
      </w:pPr>
      <w:r>
        <w:rPr>
          <w:lang w:val="en-US"/>
        </w:rPr>
        <w:t>Status</w:t>
      </w:r>
      <w:r w:rsidR="002C5F48" w:rsidRPr="00480F72">
        <w:rPr>
          <w:lang w:val="en-US"/>
        </w:rPr>
        <w:t>: 15</w:t>
      </w:r>
      <w:r>
        <w:rPr>
          <w:lang w:val="en-US"/>
        </w:rPr>
        <w:t xml:space="preserve"> </w:t>
      </w:r>
      <w:r w:rsidR="002C5F48" w:rsidRPr="00480F72">
        <w:rPr>
          <w:lang w:val="en-US"/>
        </w:rPr>
        <w:t>Februar</w:t>
      </w:r>
      <w:r>
        <w:rPr>
          <w:lang w:val="en-US"/>
        </w:rPr>
        <w:t>y</w:t>
      </w:r>
      <w:r w:rsidR="002973FA" w:rsidRPr="00480F72">
        <w:rPr>
          <w:lang w:val="en-US"/>
        </w:rPr>
        <w:t xml:space="preserve"> 2018</w:t>
      </w:r>
      <w:r w:rsidR="000719FD" w:rsidRPr="00480F72">
        <w:rPr>
          <w:i/>
          <w:lang w:val="en-US"/>
        </w:rPr>
        <w:t xml:space="preserve"> </w:t>
      </w:r>
    </w:p>
    <w:p w:rsidR="000719FD" w:rsidRPr="00480F72" w:rsidRDefault="002605F7" w:rsidP="003A1318">
      <w:pPr>
        <w:jc w:val="both"/>
        <w:rPr>
          <w:i/>
          <w:lang w:val="en-US"/>
        </w:rPr>
      </w:pPr>
      <w:r>
        <w:rPr>
          <w:i/>
          <w:lang w:val="en-US"/>
        </w:rPr>
        <w:t>Sources</w:t>
      </w:r>
      <w:r w:rsidR="000719FD" w:rsidRPr="00480F72">
        <w:rPr>
          <w:i/>
          <w:lang w:val="en-US"/>
        </w:rPr>
        <w:t xml:space="preserve">: </w:t>
      </w:r>
      <w:r>
        <w:rPr>
          <w:i/>
          <w:lang w:val="en-US"/>
        </w:rPr>
        <w:t>Municipality of</w:t>
      </w:r>
      <w:r w:rsidR="000719FD" w:rsidRPr="00480F72">
        <w:rPr>
          <w:i/>
          <w:lang w:val="en-US"/>
        </w:rPr>
        <w:t xml:space="preserve"> Salzburg: </w:t>
      </w:r>
      <w:r>
        <w:rPr>
          <w:i/>
          <w:lang w:val="en-US"/>
        </w:rPr>
        <w:t>City Archives and Office of Statistics, as well as internal sources</w:t>
      </w:r>
    </w:p>
    <w:p w:rsidR="005A338D" w:rsidRPr="00480F72" w:rsidRDefault="005A338D" w:rsidP="003A1318">
      <w:pPr>
        <w:jc w:val="both"/>
        <w:rPr>
          <w:sz w:val="20"/>
          <w:szCs w:val="20"/>
          <w:lang w:val="en-US"/>
        </w:rPr>
      </w:pPr>
    </w:p>
    <w:p w:rsidR="00D21C2A" w:rsidRPr="001C6E9D" w:rsidRDefault="002605F7" w:rsidP="00354A2D">
      <w:pPr>
        <w:rPr>
          <w:rFonts w:cs="Times New Roman"/>
          <w:sz w:val="20"/>
          <w:u w:val="single"/>
          <w:lang w:val="de-DE"/>
        </w:rPr>
      </w:pPr>
      <w:r w:rsidRPr="001C6E9D">
        <w:rPr>
          <w:b/>
          <w:bCs/>
          <w:sz w:val="20"/>
          <w:lang w:val="de-DE"/>
        </w:rPr>
        <w:t>Further Information</w:t>
      </w:r>
      <w:r w:rsidR="00D21C2A" w:rsidRPr="001C6E9D">
        <w:rPr>
          <w:b/>
          <w:bCs/>
          <w:sz w:val="20"/>
          <w:lang w:val="de-DE"/>
        </w:rPr>
        <w:t xml:space="preserve">: </w:t>
      </w:r>
      <w:r w:rsidR="00D21C2A" w:rsidRPr="001C6E9D">
        <w:rPr>
          <w:b/>
          <w:bCs/>
          <w:sz w:val="20"/>
          <w:lang w:val="de-DE"/>
        </w:rPr>
        <w:br/>
      </w:r>
      <w:r w:rsidR="00D21C2A" w:rsidRPr="001C6E9D">
        <w:rPr>
          <w:sz w:val="20"/>
          <w:lang w:val="de-DE"/>
        </w:rPr>
        <w:t xml:space="preserve">Tourismus Salzburg, </w:t>
      </w:r>
      <w:proofErr w:type="spellStart"/>
      <w:r w:rsidR="00D21C2A" w:rsidRPr="001C6E9D">
        <w:rPr>
          <w:sz w:val="20"/>
          <w:lang w:val="de-DE"/>
        </w:rPr>
        <w:t>Auerspergstraße</w:t>
      </w:r>
      <w:proofErr w:type="spellEnd"/>
      <w:r w:rsidR="00D21C2A" w:rsidRPr="001C6E9D">
        <w:rPr>
          <w:sz w:val="20"/>
          <w:lang w:val="de-DE"/>
        </w:rPr>
        <w:t xml:space="preserve"> 6, 5020 Salzburg, Austria, </w:t>
      </w:r>
      <w:r w:rsidR="00D21C2A" w:rsidRPr="001C6E9D">
        <w:rPr>
          <w:sz w:val="20"/>
          <w:lang w:val="de-DE"/>
        </w:rPr>
        <w:br/>
        <w:t xml:space="preserve">Tel.: +43/662/889 87 - 0, Fax: +43/662/889 87 - 32, </w:t>
      </w:r>
      <w:hyperlink r:id="rId9" w:history="1">
        <w:r w:rsidR="00D21C2A" w:rsidRPr="001C6E9D">
          <w:rPr>
            <w:rStyle w:val="Hyperlink"/>
            <w:color w:val="auto"/>
            <w:sz w:val="20"/>
            <w:lang w:val="de-DE"/>
          </w:rPr>
          <w:t>www.salzburg.info</w:t>
        </w:r>
      </w:hyperlink>
      <w:r w:rsidR="00D21C2A" w:rsidRPr="001C6E9D">
        <w:rPr>
          <w:rStyle w:val="Hyperlink"/>
          <w:color w:val="auto"/>
          <w:sz w:val="20"/>
          <w:lang w:val="de-DE"/>
        </w:rPr>
        <w:t xml:space="preserve">, </w:t>
      </w:r>
      <w:r w:rsidR="00D21C2A" w:rsidRPr="001C6E9D">
        <w:rPr>
          <w:sz w:val="20"/>
          <w:lang w:val="de-DE"/>
        </w:rPr>
        <w:t>#</w:t>
      </w:r>
      <w:proofErr w:type="spellStart"/>
      <w:r w:rsidR="00D21C2A" w:rsidRPr="001C6E9D">
        <w:rPr>
          <w:sz w:val="20"/>
          <w:lang w:val="de-DE"/>
        </w:rPr>
        <w:t>visitsalzburg</w:t>
      </w:r>
      <w:proofErr w:type="spellEnd"/>
    </w:p>
    <w:p w:rsidR="00D21C2A" w:rsidRPr="001C6E9D" w:rsidRDefault="00D21C2A" w:rsidP="003A1318">
      <w:pPr>
        <w:jc w:val="both"/>
        <w:rPr>
          <w:b/>
          <w:sz w:val="20"/>
          <w:lang w:val="de-DE"/>
        </w:rPr>
      </w:pPr>
    </w:p>
    <w:p w:rsidR="00D21C2A" w:rsidRPr="00480F72" w:rsidRDefault="002605F7" w:rsidP="002605F7">
      <w:pPr>
        <w:rPr>
          <w:b/>
          <w:sz w:val="20"/>
          <w:lang w:val="en-US"/>
        </w:rPr>
      </w:pPr>
      <w:r>
        <w:rPr>
          <w:b/>
          <w:sz w:val="20"/>
          <w:lang w:val="en-US"/>
        </w:rPr>
        <w:t>Press Contact</w:t>
      </w:r>
      <w:r w:rsidR="00D21C2A" w:rsidRPr="00480F72">
        <w:rPr>
          <w:b/>
          <w:sz w:val="20"/>
          <w:lang w:val="en-US"/>
        </w:rPr>
        <w:t xml:space="preserve">: </w:t>
      </w:r>
      <w:r w:rsidR="00D21C2A" w:rsidRPr="00480F72">
        <w:rPr>
          <w:b/>
          <w:sz w:val="20"/>
          <w:lang w:val="en-US"/>
        </w:rPr>
        <w:br/>
      </w:r>
      <w:r w:rsidR="00D21C2A" w:rsidRPr="00480F72">
        <w:rPr>
          <w:sz w:val="20"/>
          <w:lang w:val="en-US"/>
        </w:rPr>
        <w:t xml:space="preserve">Martina C. Trummer, Tel.: +43/662/889 87 – 605, </w:t>
      </w:r>
      <w:hyperlink r:id="rId10" w:history="1">
        <w:r w:rsidR="00D21C2A" w:rsidRPr="00480F72">
          <w:rPr>
            <w:rStyle w:val="Hyperlink"/>
            <w:color w:val="auto"/>
            <w:sz w:val="20"/>
            <w:lang w:val="en-US"/>
          </w:rPr>
          <w:t>presse@salzburg.info</w:t>
        </w:r>
      </w:hyperlink>
      <w:r w:rsidR="00D21C2A" w:rsidRPr="00480F72">
        <w:rPr>
          <w:sz w:val="20"/>
          <w:lang w:val="en-US"/>
        </w:rPr>
        <w:t xml:space="preserve">  </w:t>
      </w:r>
    </w:p>
    <w:p w:rsidR="002D37BF" w:rsidRPr="001C6E9D" w:rsidRDefault="00C510CC" w:rsidP="003A1318">
      <w:pPr>
        <w:jc w:val="both"/>
        <w:rPr>
          <w:b/>
          <w:sz w:val="20"/>
          <w:lang w:val="de-DE"/>
        </w:rPr>
      </w:pPr>
      <w:r w:rsidRPr="001C6E9D">
        <w:rPr>
          <w:sz w:val="20"/>
          <w:lang w:val="de-DE"/>
        </w:rPr>
        <w:t xml:space="preserve">Stephanie Staudhammer, Tel.: +43/662/889 87 – 604, </w:t>
      </w:r>
      <w:hyperlink r:id="rId11" w:history="1">
        <w:r w:rsidRPr="001C6E9D">
          <w:rPr>
            <w:rStyle w:val="Hyperlink"/>
            <w:color w:val="auto"/>
            <w:sz w:val="20"/>
            <w:lang w:val="de-DE"/>
          </w:rPr>
          <w:t>presse@salzburg.info</w:t>
        </w:r>
      </w:hyperlink>
    </w:p>
    <w:sectPr w:rsidR="002D37BF" w:rsidRPr="001C6E9D" w:rsidSect="00CE1CDF">
      <w:headerReference w:type="default" r:id="rId12"/>
      <w:footerReference w:type="default" r:id="rId13"/>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64" w:rsidRDefault="00117264" w:rsidP="00790AA5">
      <w:r>
        <w:separator/>
      </w:r>
    </w:p>
  </w:endnote>
  <w:endnote w:type="continuationSeparator" w:id="0">
    <w:p w:rsidR="00117264" w:rsidRDefault="00117264"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05" w:rsidRDefault="001E6B05" w:rsidP="006B2844">
    <w:pPr>
      <w:pStyle w:val="Kopfzeile"/>
    </w:pPr>
  </w:p>
  <w:p w:rsidR="001E6B05" w:rsidRDefault="00290BE5" w:rsidP="006B2844">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64" w:rsidRDefault="00117264" w:rsidP="00790AA5">
      <w:r>
        <w:separator/>
      </w:r>
    </w:p>
  </w:footnote>
  <w:footnote w:type="continuationSeparator" w:id="0">
    <w:p w:rsidR="00117264" w:rsidRDefault="00117264" w:rsidP="0079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05" w:rsidRDefault="00290BE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6.55pt;margin-top:.35pt;width:97pt;height:52.9pt;z-index:-251656192;mso-position-horizontal-relative:text;mso-position-vertical-relative:text;mso-width-relative:page;mso-height-relative:page" wrapcoords="-167 0 -167 21296 21600 21296 21600 0 -167 0">
          <v:imagedata r:id="rId1" o:title="Logo-TSG_eng"/>
          <w10:wrap type="tight"/>
        </v:shape>
      </w:pict>
    </w:r>
  </w:p>
  <w:p w:rsidR="005E6FEA" w:rsidRPr="00476685" w:rsidRDefault="005E6FEA" w:rsidP="005E6FEA">
    <w:pPr>
      <w:tabs>
        <w:tab w:val="left" w:pos="6804"/>
      </w:tabs>
      <w:rPr>
        <w:sz w:val="20"/>
        <w:szCs w:val="20"/>
      </w:rPr>
    </w:pPr>
    <w:r w:rsidRPr="00305D76">
      <w:rPr>
        <w:sz w:val="28"/>
        <w:szCs w:val="28"/>
      </w:rPr>
      <w:t>PRESS</w:t>
    </w:r>
    <w:r w:rsidR="00480F72">
      <w:rPr>
        <w:sz w:val="28"/>
        <w:szCs w:val="28"/>
      </w:rPr>
      <w:t xml:space="preserve"> </w:t>
    </w:r>
    <w:r w:rsidRPr="00305D76">
      <w:rPr>
        <w:sz w:val="28"/>
        <w:szCs w:val="28"/>
      </w:rPr>
      <w:t xml:space="preserve">INFORMATION </w:t>
    </w:r>
  </w:p>
  <w:p w:rsidR="001E6B05" w:rsidRDefault="001E6B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4163DF6B-F341-4122-9D9A-5CFBB1D7C3A8}"/>
    <w:docVar w:name="dgnword-eventsink" w:val="396866656"/>
  </w:docVars>
  <w:rsids>
    <w:rsidRoot w:val="006B2844"/>
    <w:rsid w:val="00001868"/>
    <w:rsid w:val="00002A32"/>
    <w:rsid w:val="00003000"/>
    <w:rsid w:val="0000340A"/>
    <w:rsid w:val="0000560E"/>
    <w:rsid w:val="00014A5E"/>
    <w:rsid w:val="000225AF"/>
    <w:rsid w:val="0003372E"/>
    <w:rsid w:val="00033EB6"/>
    <w:rsid w:val="00036C81"/>
    <w:rsid w:val="0004106D"/>
    <w:rsid w:val="00044317"/>
    <w:rsid w:val="0006136A"/>
    <w:rsid w:val="0006625D"/>
    <w:rsid w:val="000719FD"/>
    <w:rsid w:val="00080ED9"/>
    <w:rsid w:val="000A1430"/>
    <w:rsid w:val="000A3B35"/>
    <w:rsid w:val="000A47F0"/>
    <w:rsid w:val="000A6AEE"/>
    <w:rsid w:val="000B0D44"/>
    <w:rsid w:val="000B382F"/>
    <w:rsid w:val="000B55B0"/>
    <w:rsid w:val="000B74C8"/>
    <w:rsid w:val="000C0FC6"/>
    <w:rsid w:val="000C171D"/>
    <w:rsid w:val="000C53B0"/>
    <w:rsid w:val="000C67FB"/>
    <w:rsid w:val="000C760C"/>
    <w:rsid w:val="000E2AA8"/>
    <w:rsid w:val="000E2F83"/>
    <w:rsid w:val="000E38E0"/>
    <w:rsid w:val="000F17FD"/>
    <w:rsid w:val="000F5C5A"/>
    <w:rsid w:val="000F6B78"/>
    <w:rsid w:val="00103C2B"/>
    <w:rsid w:val="001141DA"/>
    <w:rsid w:val="0011446D"/>
    <w:rsid w:val="00117264"/>
    <w:rsid w:val="0012535A"/>
    <w:rsid w:val="001337C2"/>
    <w:rsid w:val="00140059"/>
    <w:rsid w:val="0015046E"/>
    <w:rsid w:val="00153384"/>
    <w:rsid w:val="001535A2"/>
    <w:rsid w:val="00155249"/>
    <w:rsid w:val="0016310C"/>
    <w:rsid w:val="00182913"/>
    <w:rsid w:val="00192130"/>
    <w:rsid w:val="0019264A"/>
    <w:rsid w:val="00197D63"/>
    <w:rsid w:val="001A159E"/>
    <w:rsid w:val="001A2EB8"/>
    <w:rsid w:val="001B76E3"/>
    <w:rsid w:val="001C03EE"/>
    <w:rsid w:val="001C6E9D"/>
    <w:rsid w:val="001D0DAF"/>
    <w:rsid w:val="001D171C"/>
    <w:rsid w:val="001D4D3B"/>
    <w:rsid w:val="001E6B05"/>
    <w:rsid w:val="001F11A0"/>
    <w:rsid w:val="00202FE7"/>
    <w:rsid w:val="002115A4"/>
    <w:rsid w:val="00216581"/>
    <w:rsid w:val="00217330"/>
    <w:rsid w:val="00222995"/>
    <w:rsid w:val="00236E0E"/>
    <w:rsid w:val="00236F66"/>
    <w:rsid w:val="00242487"/>
    <w:rsid w:val="00242E6A"/>
    <w:rsid w:val="002442AC"/>
    <w:rsid w:val="00246444"/>
    <w:rsid w:val="002569A9"/>
    <w:rsid w:val="002605F7"/>
    <w:rsid w:val="00271CD0"/>
    <w:rsid w:val="00277F3B"/>
    <w:rsid w:val="00285227"/>
    <w:rsid w:val="002909C8"/>
    <w:rsid w:val="00290BE5"/>
    <w:rsid w:val="00293C0B"/>
    <w:rsid w:val="002973FA"/>
    <w:rsid w:val="002A684C"/>
    <w:rsid w:val="002A709B"/>
    <w:rsid w:val="002A7D2B"/>
    <w:rsid w:val="002B1D16"/>
    <w:rsid w:val="002B30CE"/>
    <w:rsid w:val="002B6E4F"/>
    <w:rsid w:val="002B6FB7"/>
    <w:rsid w:val="002C55FD"/>
    <w:rsid w:val="002C5F48"/>
    <w:rsid w:val="002D37BF"/>
    <w:rsid w:val="002D3C89"/>
    <w:rsid w:val="002E0FB6"/>
    <w:rsid w:val="002E1600"/>
    <w:rsid w:val="002E6A12"/>
    <w:rsid w:val="002F34CA"/>
    <w:rsid w:val="003061ED"/>
    <w:rsid w:val="00306398"/>
    <w:rsid w:val="00306E06"/>
    <w:rsid w:val="00313807"/>
    <w:rsid w:val="00317DA3"/>
    <w:rsid w:val="003328EA"/>
    <w:rsid w:val="00333039"/>
    <w:rsid w:val="00333611"/>
    <w:rsid w:val="00354A2D"/>
    <w:rsid w:val="00356F08"/>
    <w:rsid w:val="00365EF1"/>
    <w:rsid w:val="003716AA"/>
    <w:rsid w:val="003731EE"/>
    <w:rsid w:val="0037393C"/>
    <w:rsid w:val="00374B5E"/>
    <w:rsid w:val="0037724E"/>
    <w:rsid w:val="003A1318"/>
    <w:rsid w:val="003A28D0"/>
    <w:rsid w:val="003B4CF9"/>
    <w:rsid w:val="003C287E"/>
    <w:rsid w:val="003C59D3"/>
    <w:rsid w:val="003C7048"/>
    <w:rsid w:val="003D6216"/>
    <w:rsid w:val="003D7701"/>
    <w:rsid w:val="003E4FA9"/>
    <w:rsid w:val="00402797"/>
    <w:rsid w:val="00403644"/>
    <w:rsid w:val="00406D96"/>
    <w:rsid w:val="004108B5"/>
    <w:rsid w:val="004127AB"/>
    <w:rsid w:val="00416DEF"/>
    <w:rsid w:val="00425B23"/>
    <w:rsid w:val="004433B5"/>
    <w:rsid w:val="00446572"/>
    <w:rsid w:val="00447A93"/>
    <w:rsid w:val="004504D6"/>
    <w:rsid w:val="00456CE2"/>
    <w:rsid w:val="004602A3"/>
    <w:rsid w:val="00464972"/>
    <w:rsid w:val="00465658"/>
    <w:rsid w:val="004658CA"/>
    <w:rsid w:val="0046606B"/>
    <w:rsid w:val="004668E2"/>
    <w:rsid w:val="00470EE4"/>
    <w:rsid w:val="00476293"/>
    <w:rsid w:val="00476685"/>
    <w:rsid w:val="00477307"/>
    <w:rsid w:val="00480F72"/>
    <w:rsid w:val="00481214"/>
    <w:rsid w:val="00481C8E"/>
    <w:rsid w:val="00486CE8"/>
    <w:rsid w:val="004907B5"/>
    <w:rsid w:val="004A7312"/>
    <w:rsid w:val="004B3006"/>
    <w:rsid w:val="004B6BDF"/>
    <w:rsid w:val="004C28FA"/>
    <w:rsid w:val="004C5601"/>
    <w:rsid w:val="004E5134"/>
    <w:rsid w:val="005204DF"/>
    <w:rsid w:val="00522641"/>
    <w:rsid w:val="00523199"/>
    <w:rsid w:val="00526266"/>
    <w:rsid w:val="00526DCD"/>
    <w:rsid w:val="0053285B"/>
    <w:rsid w:val="0053732B"/>
    <w:rsid w:val="0054065E"/>
    <w:rsid w:val="0054532A"/>
    <w:rsid w:val="005466C3"/>
    <w:rsid w:val="00560B36"/>
    <w:rsid w:val="00566396"/>
    <w:rsid w:val="00572EA7"/>
    <w:rsid w:val="005947B2"/>
    <w:rsid w:val="00596C19"/>
    <w:rsid w:val="005A20C2"/>
    <w:rsid w:val="005A338D"/>
    <w:rsid w:val="005B0A3A"/>
    <w:rsid w:val="005B4643"/>
    <w:rsid w:val="005B5FD6"/>
    <w:rsid w:val="005C49FB"/>
    <w:rsid w:val="005D5F29"/>
    <w:rsid w:val="005E4868"/>
    <w:rsid w:val="005E67A5"/>
    <w:rsid w:val="005E6FEA"/>
    <w:rsid w:val="005F669C"/>
    <w:rsid w:val="00602184"/>
    <w:rsid w:val="0060266E"/>
    <w:rsid w:val="00603BCB"/>
    <w:rsid w:val="0060505E"/>
    <w:rsid w:val="006051E4"/>
    <w:rsid w:val="00613222"/>
    <w:rsid w:val="00615213"/>
    <w:rsid w:val="00623F24"/>
    <w:rsid w:val="00626250"/>
    <w:rsid w:val="006308AA"/>
    <w:rsid w:val="00634702"/>
    <w:rsid w:val="0063572F"/>
    <w:rsid w:val="00636F4B"/>
    <w:rsid w:val="00650D52"/>
    <w:rsid w:val="00651BFC"/>
    <w:rsid w:val="00654D3A"/>
    <w:rsid w:val="00655735"/>
    <w:rsid w:val="0066677F"/>
    <w:rsid w:val="00671CF3"/>
    <w:rsid w:val="006778FD"/>
    <w:rsid w:val="00680A17"/>
    <w:rsid w:val="00681AE1"/>
    <w:rsid w:val="00681F61"/>
    <w:rsid w:val="00683917"/>
    <w:rsid w:val="006845BC"/>
    <w:rsid w:val="00685875"/>
    <w:rsid w:val="00687156"/>
    <w:rsid w:val="00691227"/>
    <w:rsid w:val="00692E2C"/>
    <w:rsid w:val="006966D4"/>
    <w:rsid w:val="006979F9"/>
    <w:rsid w:val="006A2502"/>
    <w:rsid w:val="006A504C"/>
    <w:rsid w:val="006B2844"/>
    <w:rsid w:val="006B3171"/>
    <w:rsid w:val="006C285D"/>
    <w:rsid w:val="006C563A"/>
    <w:rsid w:val="006C7684"/>
    <w:rsid w:val="006D3772"/>
    <w:rsid w:val="006D40A4"/>
    <w:rsid w:val="006D46B0"/>
    <w:rsid w:val="006D5693"/>
    <w:rsid w:val="006D62EC"/>
    <w:rsid w:val="006E18C9"/>
    <w:rsid w:val="006E77BB"/>
    <w:rsid w:val="00701C96"/>
    <w:rsid w:val="00716A63"/>
    <w:rsid w:val="00717053"/>
    <w:rsid w:val="00720732"/>
    <w:rsid w:val="00725275"/>
    <w:rsid w:val="00730780"/>
    <w:rsid w:val="00730F86"/>
    <w:rsid w:val="0073516F"/>
    <w:rsid w:val="007402DE"/>
    <w:rsid w:val="0074091B"/>
    <w:rsid w:val="0074305D"/>
    <w:rsid w:val="00744ADC"/>
    <w:rsid w:val="0075169C"/>
    <w:rsid w:val="007671BB"/>
    <w:rsid w:val="00790AA5"/>
    <w:rsid w:val="00791053"/>
    <w:rsid w:val="007939BB"/>
    <w:rsid w:val="0079717A"/>
    <w:rsid w:val="007A0976"/>
    <w:rsid w:val="007A21CB"/>
    <w:rsid w:val="007B77E6"/>
    <w:rsid w:val="007C644A"/>
    <w:rsid w:val="007D2429"/>
    <w:rsid w:val="007D2EF6"/>
    <w:rsid w:val="007D569A"/>
    <w:rsid w:val="007D70F8"/>
    <w:rsid w:val="007F1F38"/>
    <w:rsid w:val="007F3637"/>
    <w:rsid w:val="00801E2C"/>
    <w:rsid w:val="008078DE"/>
    <w:rsid w:val="0081140F"/>
    <w:rsid w:val="008238EC"/>
    <w:rsid w:val="00830E37"/>
    <w:rsid w:val="0083134F"/>
    <w:rsid w:val="00832070"/>
    <w:rsid w:val="008340AB"/>
    <w:rsid w:val="008450FB"/>
    <w:rsid w:val="00852F70"/>
    <w:rsid w:val="00854A3C"/>
    <w:rsid w:val="00870348"/>
    <w:rsid w:val="00873F5A"/>
    <w:rsid w:val="008745C0"/>
    <w:rsid w:val="00876876"/>
    <w:rsid w:val="00883933"/>
    <w:rsid w:val="00883F2E"/>
    <w:rsid w:val="0088710E"/>
    <w:rsid w:val="00891444"/>
    <w:rsid w:val="00893D61"/>
    <w:rsid w:val="00896934"/>
    <w:rsid w:val="00897F4C"/>
    <w:rsid w:val="008A091F"/>
    <w:rsid w:val="008B14CF"/>
    <w:rsid w:val="008B6568"/>
    <w:rsid w:val="008C3BF2"/>
    <w:rsid w:val="008C4D39"/>
    <w:rsid w:val="008D7CDD"/>
    <w:rsid w:val="008E059E"/>
    <w:rsid w:val="008E1B6E"/>
    <w:rsid w:val="008E424A"/>
    <w:rsid w:val="008E4597"/>
    <w:rsid w:val="008E5279"/>
    <w:rsid w:val="008E5903"/>
    <w:rsid w:val="008F18AB"/>
    <w:rsid w:val="008F7AC8"/>
    <w:rsid w:val="00903088"/>
    <w:rsid w:val="00936929"/>
    <w:rsid w:val="009407A6"/>
    <w:rsid w:val="009447E7"/>
    <w:rsid w:val="00946360"/>
    <w:rsid w:val="00947CFF"/>
    <w:rsid w:val="00955ADD"/>
    <w:rsid w:val="0097271D"/>
    <w:rsid w:val="00975442"/>
    <w:rsid w:val="009768E1"/>
    <w:rsid w:val="009851A1"/>
    <w:rsid w:val="00986F76"/>
    <w:rsid w:val="00990350"/>
    <w:rsid w:val="009A0C97"/>
    <w:rsid w:val="009A2CFE"/>
    <w:rsid w:val="009A3A22"/>
    <w:rsid w:val="009B05CC"/>
    <w:rsid w:val="009B0B6B"/>
    <w:rsid w:val="009C7973"/>
    <w:rsid w:val="009D64B7"/>
    <w:rsid w:val="009E2DE1"/>
    <w:rsid w:val="009E5309"/>
    <w:rsid w:val="009F27D8"/>
    <w:rsid w:val="00A00B4B"/>
    <w:rsid w:val="00A028B1"/>
    <w:rsid w:val="00A05B10"/>
    <w:rsid w:val="00A11D50"/>
    <w:rsid w:val="00A12500"/>
    <w:rsid w:val="00A130F3"/>
    <w:rsid w:val="00A20409"/>
    <w:rsid w:val="00A21627"/>
    <w:rsid w:val="00A23807"/>
    <w:rsid w:val="00A32D48"/>
    <w:rsid w:val="00A45032"/>
    <w:rsid w:val="00A527F3"/>
    <w:rsid w:val="00A571FE"/>
    <w:rsid w:val="00A67412"/>
    <w:rsid w:val="00A74FB5"/>
    <w:rsid w:val="00A75817"/>
    <w:rsid w:val="00A80C4E"/>
    <w:rsid w:val="00A90581"/>
    <w:rsid w:val="00A975A8"/>
    <w:rsid w:val="00AA57E8"/>
    <w:rsid w:val="00AC319A"/>
    <w:rsid w:val="00AC3DBF"/>
    <w:rsid w:val="00AE024B"/>
    <w:rsid w:val="00AE4088"/>
    <w:rsid w:val="00AE4963"/>
    <w:rsid w:val="00AE6314"/>
    <w:rsid w:val="00B00761"/>
    <w:rsid w:val="00B03C05"/>
    <w:rsid w:val="00B11D08"/>
    <w:rsid w:val="00B1564D"/>
    <w:rsid w:val="00B159DA"/>
    <w:rsid w:val="00B2153D"/>
    <w:rsid w:val="00B26717"/>
    <w:rsid w:val="00B30E29"/>
    <w:rsid w:val="00B32C4C"/>
    <w:rsid w:val="00B44460"/>
    <w:rsid w:val="00B444D6"/>
    <w:rsid w:val="00B47C42"/>
    <w:rsid w:val="00B548C9"/>
    <w:rsid w:val="00B60E2F"/>
    <w:rsid w:val="00B63BE5"/>
    <w:rsid w:val="00B65759"/>
    <w:rsid w:val="00B67B67"/>
    <w:rsid w:val="00B7764E"/>
    <w:rsid w:val="00B85B55"/>
    <w:rsid w:val="00B936EB"/>
    <w:rsid w:val="00B9670F"/>
    <w:rsid w:val="00B97AD7"/>
    <w:rsid w:val="00BB7005"/>
    <w:rsid w:val="00BC6500"/>
    <w:rsid w:val="00BC6AD0"/>
    <w:rsid w:val="00BD2523"/>
    <w:rsid w:val="00BD613A"/>
    <w:rsid w:val="00BE3A7B"/>
    <w:rsid w:val="00BF5578"/>
    <w:rsid w:val="00BF56D4"/>
    <w:rsid w:val="00BF616D"/>
    <w:rsid w:val="00BF6910"/>
    <w:rsid w:val="00C02588"/>
    <w:rsid w:val="00C0759E"/>
    <w:rsid w:val="00C12851"/>
    <w:rsid w:val="00C13185"/>
    <w:rsid w:val="00C17DDA"/>
    <w:rsid w:val="00C20686"/>
    <w:rsid w:val="00C245CA"/>
    <w:rsid w:val="00C27BBE"/>
    <w:rsid w:val="00C31BB7"/>
    <w:rsid w:val="00C343E0"/>
    <w:rsid w:val="00C36C39"/>
    <w:rsid w:val="00C44781"/>
    <w:rsid w:val="00C4542F"/>
    <w:rsid w:val="00C506E7"/>
    <w:rsid w:val="00C510CC"/>
    <w:rsid w:val="00C52DA0"/>
    <w:rsid w:val="00C538EF"/>
    <w:rsid w:val="00C5504F"/>
    <w:rsid w:val="00C55E02"/>
    <w:rsid w:val="00C635EC"/>
    <w:rsid w:val="00C74028"/>
    <w:rsid w:val="00C75099"/>
    <w:rsid w:val="00C75238"/>
    <w:rsid w:val="00C773A9"/>
    <w:rsid w:val="00C81779"/>
    <w:rsid w:val="00C9231A"/>
    <w:rsid w:val="00C92559"/>
    <w:rsid w:val="00C92EE8"/>
    <w:rsid w:val="00C95FA1"/>
    <w:rsid w:val="00C97983"/>
    <w:rsid w:val="00CA005C"/>
    <w:rsid w:val="00CA0244"/>
    <w:rsid w:val="00CA7F56"/>
    <w:rsid w:val="00CB3504"/>
    <w:rsid w:val="00CC6DA8"/>
    <w:rsid w:val="00CC6DCF"/>
    <w:rsid w:val="00CD219B"/>
    <w:rsid w:val="00CD257D"/>
    <w:rsid w:val="00CE1CDF"/>
    <w:rsid w:val="00CE4FF3"/>
    <w:rsid w:val="00CF0779"/>
    <w:rsid w:val="00CF6193"/>
    <w:rsid w:val="00D06436"/>
    <w:rsid w:val="00D10AC5"/>
    <w:rsid w:val="00D21C2A"/>
    <w:rsid w:val="00D360B8"/>
    <w:rsid w:val="00D400E4"/>
    <w:rsid w:val="00D4495A"/>
    <w:rsid w:val="00D458CC"/>
    <w:rsid w:val="00D500F4"/>
    <w:rsid w:val="00D60DF3"/>
    <w:rsid w:val="00D65E56"/>
    <w:rsid w:val="00D71718"/>
    <w:rsid w:val="00D73BC8"/>
    <w:rsid w:val="00D8389B"/>
    <w:rsid w:val="00D87838"/>
    <w:rsid w:val="00D90360"/>
    <w:rsid w:val="00D92759"/>
    <w:rsid w:val="00DA39A5"/>
    <w:rsid w:val="00DA7E65"/>
    <w:rsid w:val="00DC1B92"/>
    <w:rsid w:val="00DC2C5D"/>
    <w:rsid w:val="00DC59F1"/>
    <w:rsid w:val="00DC74FA"/>
    <w:rsid w:val="00DD1D8E"/>
    <w:rsid w:val="00DE2130"/>
    <w:rsid w:val="00DE2ECC"/>
    <w:rsid w:val="00DE3DE9"/>
    <w:rsid w:val="00DE5E1C"/>
    <w:rsid w:val="00DE7918"/>
    <w:rsid w:val="00DF207A"/>
    <w:rsid w:val="00DF48AA"/>
    <w:rsid w:val="00DF58EF"/>
    <w:rsid w:val="00E00194"/>
    <w:rsid w:val="00E0559D"/>
    <w:rsid w:val="00E1131B"/>
    <w:rsid w:val="00E2584E"/>
    <w:rsid w:val="00E25BF8"/>
    <w:rsid w:val="00E3045E"/>
    <w:rsid w:val="00E33EDB"/>
    <w:rsid w:val="00E37AAA"/>
    <w:rsid w:val="00E40FF7"/>
    <w:rsid w:val="00E422B6"/>
    <w:rsid w:val="00E551C6"/>
    <w:rsid w:val="00E701DF"/>
    <w:rsid w:val="00E74568"/>
    <w:rsid w:val="00E82443"/>
    <w:rsid w:val="00E851E9"/>
    <w:rsid w:val="00E86388"/>
    <w:rsid w:val="00E93BAC"/>
    <w:rsid w:val="00E952E9"/>
    <w:rsid w:val="00EB61F8"/>
    <w:rsid w:val="00EC0B94"/>
    <w:rsid w:val="00EC1BEE"/>
    <w:rsid w:val="00EC5741"/>
    <w:rsid w:val="00ED0315"/>
    <w:rsid w:val="00ED09A4"/>
    <w:rsid w:val="00EE52AA"/>
    <w:rsid w:val="00EE6C29"/>
    <w:rsid w:val="00EE6CA5"/>
    <w:rsid w:val="00EF33A0"/>
    <w:rsid w:val="00EF5C57"/>
    <w:rsid w:val="00F06988"/>
    <w:rsid w:val="00F10D1B"/>
    <w:rsid w:val="00F1119D"/>
    <w:rsid w:val="00F27E11"/>
    <w:rsid w:val="00F314B3"/>
    <w:rsid w:val="00F357AC"/>
    <w:rsid w:val="00F4575A"/>
    <w:rsid w:val="00F56FE7"/>
    <w:rsid w:val="00F62431"/>
    <w:rsid w:val="00F62CB7"/>
    <w:rsid w:val="00F67C7B"/>
    <w:rsid w:val="00F83A53"/>
    <w:rsid w:val="00F87213"/>
    <w:rsid w:val="00F93935"/>
    <w:rsid w:val="00F94DD5"/>
    <w:rsid w:val="00F97035"/>
    <w:rsid w:val="00FA2F14"/>
    <w:rsid w:val="00FA3203"/>
    <w:rsid w:val="00FA3D49"/>
    <w:rsid w:val="00FA5AFD"/>
    <w:rsid w:val="00FB28D7"/>
    <w:rsid w:val="00FB2AAE"/>
    <w:rsid w:val="00FB345B"/>
    <w:rsid w:val="00FC006C"/>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Hyp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alzburg.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salzburg.info" TargetMode="External"/><Relationship Id="rId4" Type="http://schemas.openxmlformats.org/officeDocument/2006/relationships/settings" Target="settings.xml"/><Relationship Id="rId9" Type="http://schemas.openxmlformats.org/officeDocument/2006/relationships/hyperlink" Target="http://www.salzburg.inf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A0A6-D22D-4028-90F6-52EEFC61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9545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3</cp:revision>
  <cp:lastPrinted>2017-03-03T07:38:00Z</cp:lastPrinted>
  <dcterms:created xsi:type="dcterms:W3CDTF">2018-02-14T08:14:00Z</dcterms:created>
  <dcterms:modified xsi:type="dcterms:W3CDTF">2018-02-14T08:56:00Z</dcterms:modified>
</cp:coreProperties>
</file>