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9FD" w:rsidRPr="00C32FCC" w:rsidRDefault="00607627" w:rsidP="003A1318">
      <w:pPr>
        <w:pStyle w:val="berschrift1"/>
        <w:ind w:right="794"/>
        <w:jc w:val="both"/>
        <w:rPr>
          <w:sz w:val="36"/>
          <w:szCs w:val="36"/>
          <w:lang w:val="en-US"/>
        </w:rPr>
      </w:pPr>
      <w:r w:rsidRPr="00C32FCC">
        <w:rPr>
          <w:sz w:val="36"/>
          <w:szCs w:val="36"/>
          <w:lang w:val="en-US"/>
        </w:rPr>
        <w:t xml:space="preserve">Tourism in Salzburg City – Facts &amp; Figures </w:t>
      </w:r>
      <w:r w:rsidR="00D77380" w:rsidRPr="00C32FCC">
        <w:rPr>
          <w:sz w:val="36"/>
          <w:szCs w:val="36"/>
          <w:lang w:val="en-US"/>
        </w:rPr>
        <w:t>2018</w:t>
      </w:r>
    </w:p>
    <w:p w:rsidR="000719FD" w:rsidRPr="00607627" w:rsidRDefault="000719FD" w:rsidP="003A1318">
      <w:pPr>
        <w:tabs>
          <w:tab w:val="left" w:pos="1956"/>
        </w:tabs>
        <w:jc w:val="both"/>
        <w:outlineLvl w:val="0"/>
        <w:rPr>
          <w:sz w:val="31"/>
          <w:szCs w:val="31"/>
          <w:lang w:val="en-US"/>
        </w:rPr>
      </w:pPr>
    </w:p>
    <w:p w:rsidR="000719FD" w:rsidRPr="00607627" w:rsidRDefault="00C510CC" w:rsidP="003A1318">
      <w:pPr>
        <w:jc w:val="both"/>
        <w:outlineLvl w:val="0"/>
        <w:rPr>
          <w:b/>
          <w:lang w:val="en-US"/>
        </w:rPr>
      </w:pPr>
      <w:r w:rsidRPr="00607627">
        <w:rPr>
          <w:b/>
          <w:lang w:val="en-US"/>
        </w:rPr>
        <w:t>Salzburg Information</w:t>
      </w:r>
    </w:p>
    <w:p w:rsidR="000719FD" w:rsidRPr="00607627" w:rsidRDefault="00D96341" w:rsidP="003A1318">
      <w:pPr>
        <w:jc w:val="both"/>
        <w:outlineLvl w:val="0"/>
        <w:rPr>
          <w:b/>
          <w:lang w:val="en-US"/>
        </w:rPr>
      </w:pPr>
      <w:r>
        <w:rPr>
          <w:lang w:val="en-US"/>
        </w:rPr>
        <w:t>“</w:t>
      </w:r>
      <w:r w:rsidR="000719FD" w:rsidRPr="00607627">
        <w:rPr>
          <w:lang w:val="en-US"/>
        </w:rPr>
        <w:t>Salzburg Information</w:t>
      </w:r>
      <w:r>
        <w:rPr>
          <w:lang w:val="en-US"/>
        </w:rPr>
        <w:t>” is the name of the city’s tourist office</w:t>
      </w:r>
      <w:r w:rsidR="00265375">
        <w:rPr>
          <w:lang w:val="en-US"/>
        </w:rPr>
        <w:t xml:space="preserve">, </w:t>
      </w:r>
      <w:r>
        <w:rPr>
          <w:lang w:val="en-US"/>
        </w:rPr>
        <w:t xml:space="preserve">responsible for worldwide tourism marketing (advertising, sales promotion, information dissemination and production, press and publicity work), also providing interested guests with direct support and information at two info centers inside the city limits. Of course, extensive service is also offered online at </w:t>
      </w:r>
      <w:hyperlink r:id="rId8" w:history="1">
        <w:r w:rsidR="000719FD" w:rsidRPr="00607627">
          <w:rPr>
            <w:rStyle w:val="Hyperlink"/>
            <w:color w:val="auto"/>
            <w:lang w:val="en-US"/>
          </w:rPr>
          <w:t>www.salzburg.info</w:t>
        </w:r>
      </w:hyperlink>
      <w:r w:rsidR="000719FD" w:rsidRPr="00607627">
        <w:rPr>
          <w:lang w:val="en-US"/>
        </w:rPr>
        <w:t xml:space="preserve">: </w:t>
      </w:r>
      <w:r>
        <w:rPr>
          <w:lang w:val="en-US"/>
        </w:rPr>
        <w:t>hotel reservations, information about cultural events, links to all important service providers, social media, weather forecasts, webcams, photos, videos etc</w:t>
      </w:r>
      <w:r w:rsidR="000719FD" w:rsidRPr="00607627">
        <w:rPr>
          <w:lang w:val="en-US"/>
        </w:rPr>
        <w:t>.</w:t>
      </w:r>
    </w:p>
    <w:p w:rsidR="000719FD" w:rsidRPr="00607627" w:rsidRDefault="000719FD" w:rsidP="003A1318">
      <w:pPr>
        <w:jc w:val="both"/>
        <w:outlineLvl w:val="0"/>
        <w:rPr>
          <w:b/>
          <w:lang w:val="en-US"/>
        </w:rPr>
      </w:pPr>
    </w:p>
    <w:p w:rsidR="000719FD" w:rsidRPr="00607627" w:rsidRDefault="00D96341" w:rsidP="003A1318">
      <w:pPr>
        <w:jc w:val="both"/>
        <w:rPr>
          <w:lang w:val="en-US"/>
        </w:rPr>
      </w:pPr>
      <w:r>
        <w:rPr>
          <w:lang w:val="en-US"/>
        </w:rPr>
        <w:t>Salzburg City is the capital of the Austrian province of the same name and has 155,886 permanent residents (status</w:t>
      </w:r>
      <w:r w:rsidR="003A78DA" w:rsidRPr="00607627">
        <w:rPr>
          <w:lang w:val="en-US"/>
        </w:rPr>
        <w:t>: 1.1.2019</w:t>
      </w:r>
      <w:r w:rsidR="005204DF" w:rsidRPr="00607627">
        <w:rPr>
          <w:lang w:val="en-US"/>
        </w:rPr>
        <w:t>)</w:t>
      </w:r>
      <w:r w:rsidR="000719FD" w:rsidRPr="00607627">
        <w:rPr>
          <w:lang w:val="en-US"/>
        </w:rPr>
        <w:t xml:space="preserve">. </w:t>
      </w:r>
      <w:r>
        <w:rPr>
          <w:lang w:val="en-US"/>
        </w:rPr>
        <w:t>It hosts some 4500 cultural events annually with highlights that include Mozart Week, the Easter Festival, the Whitsun Festival, the Summer Festival</w:t>
      </w:r>
      <w:r w:rsidR="00A77EB6">
        <w:rPr>
          <w:lang w:val="en-US"/>
        </w:rPr>
        <w:t xml:space="preserve">, </w:t>
      </w:r>
      <w:proofErr w:type="spellStart"/>
      <w:r w:rsidR="00364443" w:rsidRPr="00607627">
        <w:rPr>
          <w:lang w:val="en-US"/>
        </w:rPr>
        <w:t>Sommerszene</w:t>
      </w:r>
      <w:proofErr w:type="spellEnd"/>
      <w:r w:rsidR="00A77EB6">
        <w:rPr>
          <w:lang w:val="en-US"/>
        </w:rPr>
        <w:t>, as well as</w:t>
      </w:r>
      <w:r w:rsidR="00364443" w:rsidRPr="00607627">
        <w:rPr>
          <w:lang w:val="en-US"/>
        </w:rPr>
        <w:t xml:space="preserve"> </w:t>
      </w:r>
      <w:proofErr w:type="spellStart"/>
      <w:r w:rsidR="000719FD" w:rsidRPr="00607627">
        <w:rPr>
          <w:lang w:val="en-US"/>
        </w:rPr>
        <w:t>Kulturtage</w:t>
      </w:r>
      <w:proofErr w:type="spellEnd"/>
      <w:r w:rsidR="00A77EB6">
        <w:rPr>
          <w:lang w:val="en-US"/>
        </w:rPr>
        <w:t xml:space="preserve"> in autumn and diverse programs during the run-up to Christmas including “Advent Singing” at various venues</w:t>
      </w:r>
      <w:r w:rsidR="00A36298" w:rsidRPr="00607627">
        <w:rPr>
          <w:lang w:val="en-US"/>
        </w:rPr>
        <w:t xml:space="preserve">. </w:t>
      </w:r>
      <w:r w:rsidR="00A77EB6">
        <w:rPr>
          <w:lang w:val="en-US"/>
        </w:rPr>
        <w:t>Salzburg is one of Austria’s top two destinations for city tourism, second only to Vienna itself</w:t>
      </w:r>
      <w:r w:rsidR="000719FD" w:rsidRPr="00607627">
        <w:rPr>
          <w:lang w:val="en-US"/>
        </w:rPr>
        <w:t>.</w:t>
      </w:r>
      <w:r w:rsidR="00A77EB6">
        <w:rPr>
          <w:lang w:val="en-US"/>
        </w:rPr>
        <w:t xml:space="preserve"> Also the city where Wolfgang Amadeus Mozart was born, it has been a proud member of the UNESCO World Heritage List since 1997</w:t>
      </w:r>
      <w:r w:rsidR="000719FD" w:rsidRPr="00607627">
        <w:rPr>
          <w:lang w:val="en-US"/>
        </w:rPr>
        <w:t>.</w:t>
      </w:r>
    </w:p>
    <w:p w:rsidR="000719FD" w:rsidRPr="00607627" w:rsidRDefault="000719FD" w:rsidP="003A1318">
      <w:pPr>
        <w:jc w:val="both"/>
        <w:rPr>
          <w:lang w:val="en-US"/>
        </w:rPr>
      </w:pPr>
    </w:p>
    <w:p w:rsidR="000719FD" w:rsidRPr="00607627" w:rsidRDefault="00A77EB6" w:rsidP="004C58F3">
      <w:pPr>
        <w:jc w:val="both"/>
        <w:rPr>
          <w:lang w:val="en-US"/>
        </w:rPr>
      </w:pPr>
      <w:r>
        <w:rPr>
          <w:lang w:val="en-US"/>
        </w:rPr>
        <w:t xml:space="preserve">Salzburg’s unique selling points include Mozart, “The Sound of Music”, the UNESCO-listed Baroque historic district, the </w:t>
      </w:r>
      <w:r w:rsidR="00265375">
        <w:rPr>
          <w:lang w:val="en-US"/>
        </w:rPr>
        <w:t>F</w:t>
      </w:r>
      <w:r>
        <w:rPr>
          <w:lang w:val="en-US"/>
        </w:rPr>
        <w:t>estival</w:t>
      </w:r>
      <w:r w:rsidR="00265375">
        <w:rPr>
          <w:lang w:val="en-US"/>
        </w:rPr>
        <w:t>,</w:t>
      </w:r>
      <w:r>
        <w:rPr>
          <w:lang w:val="en-US"/>
        </w:rPr>
        <w:t xml:space="preserve"> </w:t>
      </w:r>
      <w:r w:rsidR="00265375">
        <w:rPr>
          <w:lang w:val="en-US"/>
        </w:rPr>
        <w:t>as well as</w:t>
      </w:r>
      <w:r>
        <w:rPr>
          <w:lang w:val="en-US"/>
        </w:rPr>
        <w:t xml:space="preserve"> Advent celebrations</w:t>
      </w:r>
      <w:r w:rsidR="00265375">
        <w:rPr>
          <w:lang w:val="en-US"/>
        </w:rPr>
        <w:t xml:space="preserve"> that also incorporate the city’s historical association with</w:t>
      </w:r>
      <w:r>
        <w:rPr>
          <w:lang w:val="en-US"/>
        </w:rPr>
        <w:t xml:space="preserve"> “Silent Night”. One </w:t>
      </w:r>
      <w:r w:rsidR="00265375">
        <w:rPr>
          <w:lang w:val="en-US"/>
        </w:rPr>
        <w:t>glance</w:t>
      </w:r>
      <w:r>
        <w:rPr>
          <w:lang w:val="en-US"/>
        </w:rPr>
        <w:t xml:space="preserve"> at global reporting about this city demonstrates the exceptional magnetism of Salzburg</w:t>
      </w:r>
      <w:r w:rsidR="00B3066F" w:rsidRPr="00607627">
        <w:rPr>
          <w:lang w:val="en-US"/>
        </w:rPr>
        <w:t>:</w:t>
      </w:r>
      <w:r>
        <w:rPr>
          <w:lang w:val="en-US"/>
        </w:rPr>
        <w:t xml:space="preserve"> In the “</w:t>
      </w:r>
      <w:r w:rsidR="00D7657E" w:rsidRPr="00607627">
        <w:rPr>
          <w:lang w:val="en-US"/>
        </w:rPr>
        <w:t>Reader’s Choice Award</w:t>
      </w:r>
      <w:r>
        <w:rPr>
          <w:lang w:val="en-US"/>
        </w:rPr>
        <w:t xml:space="preserve">s” conducted by </w:t>
      </w:r>
      <w:r w:rsidR="00D7657E" w:rsidRPr="00607627">
        <w:rPr>
          <w:lang w:val="en-US"/>
        </w:rPr>
        <w:t>Condé Nast Traveler</w:t>
      </w:r>
      <w:r>
        <w:rPr>
          <w:lang w:val="en-US"/>
        </w:rPr>
        <w:t>, Salzburg was selected as the best small city in Europe and the second</w:t>
      </w:r>
      <w:r w:rsidR="00265375">
        <w:rPr>
          <w:lang w:val="en-US"/>
        </w:rPr>
        <w:t>-</w:t>
      </w:r>
      <w:r>
        <w:rPr>
          <w:lang w:val="en-US"/>
        </w:rPr>
        <w:t xml:space="preserve">best worldwide. In 2018, travel website </w:t>
      </w:r>
      <w:proofErr w:type="spellStart"/>
      <w:r w:rsidR="00D7657E" w:rsidRPr="00607627">
        <w:rPr>
          <w:lang w:val="en-US"/>
        </w:rPr>
        <w:t>Tripadvisor</w:t>
      </w:r>
      <w:proofErr w:type="spellEnd"/>
      <w:r w:rsidR="00D7657E" w:rsidRPr="00607627">
        <w:rPr>
          <w:lang w:val="en-US"/>
        </w:rPr>
        <w:t xml:space="preserve"> ® </w:t>
      </w:r>
      <w:r>
        <w:rPr>
          <w:lang w:val="en-US"/>
        </w:rPr>
        <w:t xml:space="preserve">published its ranking of the best global travel experiences </w:t>
      </w:r>
      <w:r w:rsidR="000818DC">
        <w:rPr>
          <w:lang w:val="en-US"/>
        </w:rPr>
        <w:t xml:space="preserve">for the first time </w:t>
      </w:r>
      <w:r>
        <w:rPr>
          <w:lang w:val="en-US"/>
        </w:rPr>
        <w:t xml:space="preserve">and ranked the “Sound of Music Tour” in its </w:t>
      </w:r>
      <w:r w:rsidR="00414D5D">
        <w:rPr>
          <w:lang w:val="en-US"/>
        </w:rPr>
        <w:t>T</w:t>
      </w:r>
      <w:r>
        <w:rPr>
          <w:lang w:val="en-US"/>
        </w:rPr>
        <w:t xml:space="preserve">op 25, the only </w:t>
      </w:r>
      <w:r w:rsidR="00414D5D">
        <w:rPr>
          <w:lang w:val="en-US"/>
        </w:rPr>
        <w:t xml:space="preserve">one in Austria to receive this distinction. Media focus on the 200-year anniversary of “Silent Night” has added to the worldwide prominence of Advent season in Salzburg. British daily newspaper “The Times” chose the Salzburg </w:t>
      </w:r>
      <w:r w:rsidR="004C58F3" w:rsidRPr="00607627">
        <w:rPr>
          <w:lang w:val="en-US"/>
        </w:rPr>
        <w:t>Christkindlmarkt</w:t>
      </w:r>
      <w:r w:rsidR="00414D5D">
        <w:rPr>
          <w:lang w:val="en-US"/>
        </w:rPr>
        <w:t xml:space="preserve">, which takes place on </w:t>
      </w:r>
      <w:r w:rsidR="004C58F3" w:rsidRPr="00607627">
        <w:rPr>
          <w:lang w:val="en-US"/>
        </w:rPr>
        <w:t>Dom-</w:t>
      </w:r>
      <w:r w:rsidR="00414D5D">
        <w:rPr>
          <w:lang w:val="en-US"/>
        </w:rPr>
        <w:t xml:space="preserve"> and </w:t>
      </w:r>
      <w:r w:rsidR="004C58F3" w:rsidRPr="00607627">
        <w:rPr>
          <w:lang w:val="en-US"/>
        </w:rPr>
        <w:t xml:space="preserve">Residenzplatz </w:t>
      </w:r>
      <w:r w:rsidR="00414D5D">
        <w:rPr>
          <w:lang w:val="en-US"/>
        </w:rPr>
        <w:t>squares, as the third most beautiful Advent market in all of Europe</w:t>
      </w:r>
      <w:r w:rsidR="004C58F3" w:rsidRPr="00607627">
        <w:rPr>
          <w:lang w:val="en-US"/>
        </w:rPr>
        <w:t xml:space="preserve">. </w:t>
      </w:r>
    </w:p>
    <w:p w:rsidR="000719FD" w:rsidRPr="00607627" w:rsidRDefault="000719FD" w:rsidP="003A1318">
      <w:pPr>
        <w:jc w:val="both"/>
        <w:outlineLvl w:val="0"/>
        <w:rPr>
          <w:b/>
          <w:lang w:val="en-US"/>
        </w:rPr>
      </w:pPr>
    </w:p>
    <w:p w:rsidR="000719FD" w:rsidRPr="00607627" w:rsidRDefault="00414D5D" w:rsidP="003A1318">
      <w:pPr>
        <w:jc w:val="both"/>
        <w:outlineLvl w:val="0"/>
        <w:rPr>
          <w:b/>
          <w:lang w:val="en-US"/>
        </w:rPr>
      </w:pPr>
      <w:r>
        <w:rPr>
          <w:b/>
          <w:lang w:val="en-US"/>
        </w:rPr>
        <w:t xml:space="preserve">Guest Arrivals and Overnights </w:t>
      </w:r>
      <w:r w:rsidR="00B3066F" w:rsidRPr="00607627">
        <w:rPr>
          <w:b/>
          <w:lang w:val="en-US"/>
        </w:rPr>
        <w:t>2018</w:t>
      </w:r>
    </w:p>
    <w:p w:rsidR="000719FD" w:rsidRPr="00607627" w:rsidRDefault="00414D5D" w:rsidP="003A1318">
      <w:pPr>
        <w:jc w:val="both"/>
        <w:rPr>
          <w:bCs/>
          <w:lang w:val="en-US"/>
        </w:rPr>
      </w:pPr>
      <w:r>
        <w:rPr>
          <w:lang w:val="en-US"/>
        </w:rPr>
        <w:t>Total arrivals</w:t>
      </w:r>
      <w:r w:rsidR="000719FD" w:rsidRPr="00607627">
        <w:rPr>
          <w:lang w:val="en-US"/>
        </w:rPr>
        <w:t xml:space="preserve">: </w:t>
      </w:r>
      <w:r>
        <w:rPr>
          <w:lang w:val="en-US"/>
        </w:rPr>
        <w:t xml:space="preserve">1,821,303 </w:t>
      </w:r>
      <w:r w:rsidR="000719FD" w:rsidRPr="00607627">
        <w:rPr>
          <w:lang w:val="en-US"/>
        </w:rPr>
        <w:t>(20</w:t>
      </w:r>
      <w:r w:rsidR="004127AB" w:rsidRPr="00607627">
        <w:rPr>
          <w:lang w:val="en-US"/>
        </w:rPr>
        <w:t>1</w:t>
      </w:r>
      <w:r w:rsidR="00B3066F" w:rsidRPr="00607627">
        <w:rPr>
          <w:lang w:val="en-US"/>
        </w:rPr>
        <w:t>7</w:t>
      </w:r>
      <w:r w:rsidR="000719FD" w:rsidRPr="00607627">
        <w:rPr>
          <w:lang w:val="en-US"/>
        </w:rPr>
        <w:t xml:space="preserve">: </w:t>
      </w:r>
      <w:r>
        <w:rPr>
          <w:lang w:val="en-US"/>
        </w:rPr>
        <w:t>1,758,056</w:t>
      </w:r>
      <w:r w:rsidR="000719FD" w:rsidRPr="00607627">
        <w:rPr>
          <w:lang w:val="en-US"/>
        </w:rPr>
        <w:t xml:space="preserve">) </w:t>
      </w:r>
    </w:p>
    <w:p w:rsidR="000719FD" w:rsidRPr="00607627" w:rsidRDefault="00414D5D" w:rsidP="003A1318">
      <w:pPr>
        <w:jc w:val="both"/>
        <w:rPr>
          <w:lang w:val="en-US"/>
        </w:rPr>
      </w:pPr>
      <w:r>
        <w:rPr>
          <w:lang w:val="en-US"/>
        </w:rPr>
        <w:t>Arrivals</w:t>
      </w:r>
      <w:r w:rsidR="004127AB" w:rsidRPr="00607627">
        <w:rPr>
          <w:lang w:val="en-US"/>
        </w:rPr>
        <w:t xml:space="preserve">: </w:t>
      </w:r>
      <w:r w:rsidR="002C3008" w:rsidRPr="00607627">
        <w:rPr>
          <w:lang w:val="en-US"/>
        </w:rPr>
        <w:t>+3</w:t>
      </w:r>
      <w:r>
        <w:rPr>
          <w:lang w:val="en-US"/>
        </w:rPr>
        <w:t>.</w:t>
      </w:r>
      <w:r w:rsidR="002C3008" w:rsidRPr="00607627">
        <w:rPr>
          <w:lang w:val="en-US"/>
        </w:rPr>
        <w:t>6 %</w:t>
      </w:r>
      <w:r>
        <w:rPr>
          <w:lang w:val="en-US"/>
        </w:rPr>
        <w:t xml:space="preserve"> as compared with </w:t>
      </w:r>
      <w:r w:rsidR="00B3066F" w:rsidRPr="00607627">
        <w:rPr>
          <w:lang w:val="en-US"/>
        </w:rPr>
        <w:t>2017</w:t>
      </w:r>
    </w:p>
    <w:p w:rsidR="000719FD" w:rsidRPr="00607627" w:rsidRDefault="00414D5D" w:rsidP="003A1318">
      <w:pPr>
        <w:jc w:val="both"/>
        <w:rPr>
          <w:lang w:val="en-US"/>
        </w:rPr>
      </w:pPr>
      <w:r>
        <w:rPr>
          <w:lang w:val="en-US"/>
        </w:rPr>
        <w:t>Total overnights</w:t>
      </w:r>
      <w:r w:rsidR="004127AB" w:rsidRPr="00607627">
        <w:rPr>
          <w:lang w:val="en-US"/>
        </w:rPr>
        <w:t xml:space="preserve">: </w:t>
      </w:r>
      <w:r>
        <w:rPr>
          <w:lang w:val="en-US"/>
        </w:rPr>
        <w:t xml:space="preserve">3,141,005 </w:t>
      </w:r>
      <w:r w:rsidR="00B3066F" w:rsidRPr="00607627">
        <w:rPr>
          <w:lang w:val="en-US"/>
        </w:rPr>
        <w:t xml:space="preserve">(2017: </w:t>
      </w:r>
      <w:r>
        <w:rPr>
          <w:lang w:val="en-US"/>
        </w:rPr>
        <w:t>3,043,552</w:t>
      </w:r>
      <w:r w:rsidR="000719FD" w:rsidRPr="00607627">
        <w:rPr>
          <w:lang w:val="en-US"/>
        </w:rPr>
        <w:t xml:space="preserve">) </w:t>
      </w:r>
      <w:r w:rsidR="000719FD" w:rsidRPr="00607627">
        <w:rPr>
          <w:bCs/>
          <w:lang w:val="en-US"/>
        </w:rPr>
        <w:t xml:space="preserve"> </w:t>
      </w:r>
    </w:p>
    <w:p w:rsidR="000719FD" w:rsidRPr="00607627" w:rsidRDefault="00414D5D" w:rsidP="003A1318">
      <w:pPr>
        <w:jc w:val="both"/>
        <w:rPr>
          <w:lang w:val="en-US"/>
        </w:rPr>
      </w:pPr>
      <w:r>
        <w:rPr>
          <w:lang w:val="en-US"/>
        </w:rPr>
        <w:t>Overnights</w:t>
      </w:r>
      <w:r w:rsidR="004127AB" w:rsidRPr="00607627">
        <w:rPr>
          <w:lang w:val="en-US"/>
        </w:rPr>
        <w:t xml:space="preserve">: </w:t>
      </w:r>
      <w:r w:rsidR="002C3008" w:rsidRPr="00607627">
        <w:rPr>
          <w:lang w:val="en-US"/>
        </w:rPr>
        <w:t>+3</w:t>
      </w:r>
      <w:r>
        <w:rPr>
          <w:lang w:val="en-US"/>
        </w:rPr>
        <w:t>.</w:t>
      </w:r>
      <w:r w:rsidR="002C3008" w:rsidRPr="00607627">
        <w:rPr>
          <w:lang w:val="en-US"/>
        </w:rPr>
        <w:t>2 %</w:t>
      </w:r>
      <w:r>
        <w:rPr>
          <w:lang w:val="en-US"/>
        </w:rPr>
        <w:t xml:space="preserve"> as compared with </w:t>
      </w:r>
      <w:r w:rsidR="00B3066F" w:rsidRPr="00607627">
        <w:rPr>
          <w:lang w:val="en-US"/>
        </w:rPr>
        <w:t>2017</w:t>
      </w:r>
    </w:p>
    <w:p w:rsidR="000719FD" w:rsidRPr="00607627" w:rsidRDefault="000719FD" w:rsidP="003A1318">
      <w:pPr>
        <w:jc w:val="both"/>
        <w:outlineLvl w:val="0"/>
        <w:rPr>
          <w:lang w:val="en-US"/>
        </w:rPr>
      </w:pPr>
    </w:p>
    <w:p w:rsidR="002C3008" w:rsidRPr="00607627" w:rsidRDefault="00414D5D" w:rsidP="00A36298">
      <w:pPr>
        <w:jc w:val="both"/>
        <w:rPr>
          <w:lang w:val="en-US"/>
        </w:rPr>
      </w:pPr>
      <w:r>
        <w:rPr>
          <w:lang w:val="en-US"/>
        </w:rPr>
        <w:t xml:space="preserve">With 1,821,303 arrivals </w:t>
      </w:r>
      <w:r w:rsidR="002C3008" w:rsidRPr="00607627">
        <w:rPr>
          <w:lang w:val="en-US"/>
        </w:rPr>
        <w:t>(+3</w:t>
      </w:r>
      <w:r>
        <w:rPr>
          <w:lang w:val="en-US"/>
        </w:rPr>
        <w:t>.</w:t>
      </w:r>
      <w:r w:rsidR="002C3008" w:rsidRPr="00607627">
        <w:rPr>
          <w:lang w:val="en-US"/>
        </w:rPr>
        <w:t>6 %)</w:t>
      </w:r>
      <w:r>
        <w:rPr>
          <w:lang w:val="en-US"/>
        </w:rPr>
        <w:t xml:space="preserve"> and 3,141,005 overnights </w:t>
      </w:r>
      <w:r w:rsidR="002C3008" w:rsidRPr="00607627">
        <w:rPr>
          <w:lang w:val="en-US"/>
        </w:rPr>
        <w:t>(+3</w:t>
      </w:r>
      <w:r>
        <w:rPr>
          <w:lang w:val="en-US"/>
        </w:rPr>
        <w:t>.</w:t>
      </w:r>
      <w:r w:rsidR="002C3008" w:rsidRPr="00607627">
        <w:rPr>
          <w:lang w:val="en-US"/>
        </w:rPr>
        <w:t>2 %)</w:t>
      </w:r>
      <w:r>
        <w:rPr>
          <w:lang w:val="en-US"/>
        </w:rPr>
        <w:t>, tourism in Salzburg City</w:t>
      </w:r>
      <w:r w:rsidR="002C3008" w:rsidRPr="00607627">
        <w:rPr>
          <w:lang w:val="en-US"/>
        </w:rPr>
        <w:t xml:space="preserve"> </w:t>
      </w:r>
      <w:r>
        <w:rPr>
          <w:lang w:val="en-US"/>
        </w:rPr>
        <w:t>recorded very successful figures in 2018. Growth in the most important originating countries was particularly favorable</w:t>
      </w:r>
      <w:r w:rsidR="002C3008" w:rsidRPr="00607627">
        <w:rPr>
          <w:lang w:val="en-US"/>
        </w:rPr>
        <w:t xml:space="preserve">: </w:t>
      </w:r>
      <w:r>
        <w:rPr>
          <w:lang w:val="en-US"/>
        </w:rPr>
        <w:t xml:space="preserve">Overnights from Austria rose by 1.79% to 728,039, those from Germany by 3.88% to 628,101, while the USA showed an increase of 7.61% </w:t>
      </w:r>
      <w:r w:rsidR="002C3008" w:rsidRPr="00607627">
        <w:rPr>
          <w:lang w:val="en-US"/>
        </w:rPr>
        <w:t>(271</w:t>
      </w:r>
      <w:r>
        <w:rPr>
          <w:lang w:val="en-US"/>
        </w:rPr>
        <w:t>,</w:t>
      </w:r>
      <w:r w:rsidR="002C3008" w:rsidRPr="00607627">
        <w:rPr>
          <w:lang w:val="en-US"/>
        </w:rPr>
        <w:t xml:space="preserve">389 </w:t>
      </w:r>
      <w:r>
        <w:rPr>
          <w:lang w:val="en-US"/>
        </w:rPr>
        <w:t>overnights</w:t>
      </w:r>
      <w:r w:rsidR="002C3008" w:rsidRPr="00607627">
        <w:rPr>
          <w:lang w:val="en-US"/>
        </w:rPr>
        <w:t xml:space="preserve">). </w:t>
      </w:r>
      <w:r w:rsidR="00DC1CFC">
        <w:rPr>
          <w:lang w:val="en-US"/>
        </w:rPr>
        <w:t xml:space="preserve">Places 4 and 5 of the most important markets were accounted for by the UK </w:t>
      </w:r>
      <w:r w:rsidR="002C3008" w:rsidRPr="00607627">
        <w:rPr>
          <w:lang w:val="en-US"/>
        </w:rPr>
        <w:t>(133</w:t>
      </w:r>
      <w:r w:rsidR="00DC1CFC">
        <w:rPr>
          <w:lang w:val="en-US"/>
        </w:rPr>
        <w:t>,</w:t>
      </w:r>
      <w:r w:rsidR="002C3008" w:rsidRPr="00607627">
        <w:rPr>
          <w:lang w:val="en-US"/>
        </w:rPr>
        <w:t xml:space="preserve">345 </w:t>
      </w:r>
      <w:r w:rsidR="00DC1CFC">
        <w:rPr>
          <w:lang w:val="en-US"/>
        </w:rPr>
        <w:t>overnights</w:t>
      </w:r>
      <w:r w:rsidR="002C3008" w:rsidRPr="00607627">
        <w:rPr>
          <w:lang w:val="en-US"/>
        </w:rPr>
        <w:t>, +7</w:t>
      </w:r>
      <w:r w:rsidR="00DC1CFC">
        <w:rPr>
          <w:lang w:val="en-US"/>
        </w:rPr>
        <w:t>.</w:t>
      </w:r>
      <w:r w:rsidR="002C3008" w:rsidRPr="00607627">
        <w:rPr>
          <w:lang w:val="en-US"/>
        </w:rPr>
        <w:t>87 %)</w:t>
      </w:r>
      <w:r w:rsidR="00DC1CFC">
        <w:rPr>
          <w:lang w:val="en-US"/>
        </w:rPr>
        <w:t xml:space="preserve"> and </w:t>
      </w:r>
      <w:r w:rsidR="002C3008" w:rsidRPr="00607627">
        <w:rPr>
          <w:lang w:val="en-US"/>
        </w:rPr>
        <w:t>China (129</w:t>
      </w:r>
      <w:r w:rsidR="00DC1CFC">
        <w:rPr>
          <w:lang w:val="en-US"/>
        </w:rPr>
        <w:t>,</w:t>
      </w:r>
      <w:r w:rsidR="002C3008" w:rsidRPr="00607627">
        <w:rPr>
          <w:lang w:val="en-US"/>
        </w:rPr>
        <w:t xml:space="preserve">710 </w:t>
      </w:r>
      <w:r w:rsidR="00DC1CFC">
        <w:rPr>
          <w:lang w:val="en-US"/>
        </w:rPr>
        <w:t>overnights</w:t>
      </w:r>
      <w:r w:rsidR="002C3008" w:rsidRPr="00607627">
        <w:rPr>
          <w:lang w:val="en-US"/>
        </w:rPr>
        <w:t>, +1</w:t>
      </w:r>
      <w:r w:rsidR="00DC1CFC">
        <w:rPr>
          <w:lang w:val="en-US"/>
        </w:rPr>
        <w:t>.</w:t>
      </w:r>
      <w:r w:rsidR="002C3008" w:rsidRPr="00607627">
        <w:rPr>
          <w:lang w:val="en-US"/>
        </w:rPr>
        <w:t xml:space="preserve">44 %). </w:t>
      </w:r>
      <w:r w:rsidR="00DC1CFC">
        <w:rPr>
          <w:lang w:val="en-US"/>
        </w:rPr>
        <w:t>This equates to a market share of 4.2% for British and 4.1% for Chinese guests</w:t>
      </w:r>
      <w:r w:rsidR="002C3008" w:rsidRPr="00607627">
        <w:rPr>
          <w:lang w:val="en-US"/>
        </w:rPr>
        <w:t xml:space="preserve">.  </w:t>
      </w:r>
    </w:p>
    <w:p w:rsidR="002C3008" w:rsidRPr="00607627" w:rsidRDefault="002C3008" w:rsidP="002C3008">
      <w:pPr>
        <w:rPr>
          <w:lang w:val="en-US"/>
        </w:rPr>
      </w:pPr>
    </w:p>
    <w:p w:rsidR="000719FD" w:rsidRPr="00607627" w:rsidRDefault="00DC1CFC" w:rsidP="00A36298">
      <w:pPr>
        <w:jc w:val="both"/>
        <w:rPr>
          <w:lang w:val="en-US"/>
        </w:rPr>
      </w:pPr>
      <w:r>
        <w:rPr>
          <w:lang w:val="en-US"/>
        </w:rPr>
        <w:t xml:space="preserve">Despite the slight increase in bed availability to roughly 13,000, actual bed occupancy </w:t>
      </w:r>
      <w:r w:rsidR="000818DC">
        <w:rPr>
          <w:lang w:val="en-US"/>
        </w:rPr>
        <w:t xml:space="preserve">rates </w:t>
      </w:r>
      <w:r>
        <w:rPr>
          <w:lang w:val="en-US"/>
        </w:rPr>
        <w:t xml:space="preserve">showed continued growth and currently lie at 61.23%, reflecting a room occupancy rate of </w:t>
      </w:r>
      <w:r>
        <w:rPr>
          <w:lang w:val="en-US"/>
        </w:rPr>
        <w:lastRenderedPageBreak/>
        <w:t>approximately 80%</w:t>
      </w:r>
      <w:r w:rsidR="002C3008" w:rsidRPr="00607627">
        <w:rPr>
          <w:lang w:val="en-US"/>
        </w:rPr>
        <w:t xml:space="preserve">. </w:t>
      </w:r>
      <w:r>
        <w:rPr>
          <w:lang w:val="en-US"/>
        </w:rPr>
        <w:t>The average duration of stay has remained stable for a number of years: the 1.7 days recorded in 2018 is unchanged from 2017</w:t>
      </w:r>
      <w:r w:rsidR="000719FD" w:rsidRPr="00607627">
        <w:rPr>
          <w:lang w:val="en-US"/>
        </w:rPr>
        <w:t xml:space="preserve">. </w:t>
      </w:r>
    </w:p>
    <w:p w:rsidR="000719FD" w:rsidRPr="00607627" w:rsidRDefault="000719FD" w:rsidP="003A1318">
      <w:pPr>
        <w:jc w:val="both"/>
        <w:rPr>
          <w:b/>
          <w:lang w:val="en-US"/>
        </w:rPr>
      </w:pPr>
    </w:p>
    <w:p w:rsidR="000719FD" w:rsidRPr="00607627" w:rsidRDefault="00DC1CFC" w:rsidP="003A1318">
      <w:pPr>
        <w:jc w:val="both"/>
        <w:rPr>
          <w:b/>
          <w:lang w:val="en-US"/>
        </w:rPr>
      </w:pPr>
      <w:r>
        <w:rPr>
          <w:b/>
          <w:lang w:val="en-US"/>
        </w:rPr>
        <w:t xml:space="preserve">Share of total overnights accounted for by the 10 biggest originating countries </w:t>
      </w:r>
    </w:p>
    <w:p w:rsidR="009B05CC" w:rsidRPr="00607627" w:rsidRDefault="00DC1CFC" w:rsidP="009B05CC">
      <w:pPr>
        <w:jc w:val="both"/>
        <w:rPr>
          <w:lang w:val="en-US"/>
        </w:rPr>
      </w:pPr>
      <w:r>
        <w:rPr>
          <w:lang w:val="en-US"/>
        </w:rPr>
        <w:t xml:space="preserve">The most important originating countries, each accounting for over 100,000 overnights in 2018, were: Austria, Germany, USA, Great Britain, China and Italy. These </w:t>
      </w:r>
      <w:r w:rsidR="000818DC">
        <w:rPr>
          <w:lang w:val="en-US"/>
        </w:rPr>
        <w:t>6</w:t>
      </w:r>
      <w:r>
        <w:rPr>
          <w:lang w:val="en-US"/>
        </w:rPr>
        <w:t xml:space="preserve"> countries taken together are responsible for 64% of overnights; the top </w:t>
      </w:r>
      <w:r w:rsidR="000818DC">
        <w:rPr>
          <w:lang w:val="en-US"/>
        </w:rPr>
        <w:t>3</w:t>
      </w:r>
      <w:r>
        <w:rPr>
          <w:lang w:val="en-US"/>
        </w:rPr>
        <w:t xml:space="preserve"> originating countries account for more than half of all overnights </w:t>
      </w:r>
      <w:r w:rsidR="00457470" w:rsidRPr="00607627">
        <w:rPr>
          <w:lang w:val="en-US"/>
        </w:rPr>
        <w:t>(51</w:t>
      </w:r>
      <w:r>
        <w:rPr>
          <w:lang w:val="en-US"/>
        </w:rPr>
        <w:t>.</w:t>
      </w:r>
      <w:r w:rsidR="00457470" w:rsidRPr="00607627">
        <w:rPr>
          <w:lang w:val="en-US"/>
        </w:rPr>
        <w:t xml:space="preserve">8 %). </w:t>
      </w:r>
      <w:r w:rsidR="009B05CC" w:rsidRPr="00607627">
        <w:rPr>
          <w:lang w:val="en-US"/>
        </w:rPr>
        <w:t>46</w:t>
      </w:r>
      <w:r w:rsidR="00E1589E" w:rsidRPr="00607627">
        <w:rPr>
          <w:lang w:val="en-US"/>
        </w:rPr>
        <w:t xml:space="preserve"> </w:t>
      </w:r>
      <w:r w:rsidR="009B05CC" w:rsidRPr="00607627">
        <w:rPr>
          <w:lang w:val="en-US"/>
        </w:rPr>
        <w:t>%</w:t>
      </w:r>
      <w:r>
        <w:rPr>
          <w:lang w:val="en-US"/>
        </w:rPr>
        <w:t xml:space="preserve"> of guests in 2018 came from the German-speaking world, i.e. Austria, Germany and Switzerland</w:t>
      </w:r>
      <w:r w:rsidR="009B05CC" w:rsidRPr="00607627">
        <w:rPr>
          <w:lang w:val="en-US"/>
        </w:rPr>
        <w:t xml:space="preserve">. </w:t>
      </w:r>
    </w:p>
    <w:p w:rsidR="00457470" w:rsidRPr="00607627" w:rsidRDefault="00457470" w:rsidP="009B05CC">
      <w:pPr>
        <w:jc w:val="both"/>
        <w:rPr>
          <w:lang w:val="en-US"/>
        </w:rPr>
      </w:pPr>
    </w:p>
    <w:p w:rsidR="009B05CC" w:rsidRPr="00607627" w:rsidRDefault="00FC108A" w:rsidP="003A1318">
      <w:pPr>
        <w:jc w:val="both"/>
        <w:rPr>
          <w:lang w:val="en-US"/>
        </w:rPr>
      </w:pPr>
      <w:r>
        <w:rPr>
          <w:lang w:val="en-US"/>
        </w:rPr>
        <w:t>A</w:t>
      </w:r>
      <w:r w:rsidR="00DC1CFC">
        <w:rPr>
          <w:lang w:val="en-US"/>
        </w:rPr>
        <w:t xml:space="preserve">mong the top 10 are </w:t>
      </w:r>
      <w:r w:rsidR="000818DC">
        <w:rPr>
          <w:lang w:val="en-US"/>
        </w:rPr>
        <w:t>5</w:t>
      </w:r>
      <w:r w:rsidR="00DC1CFC">
        <w:rPr>
          <w:lang w:val="en-US"/>
        </w:rPr>
        <w:t xml:space="preserve"> </w:t>
      </w:r>
      <w:r>
        <w:rPr>
          <w:lang w:val="en-US"/>
        </w:rPr>
        <w:t xml:space="preserve">remote </w:t>
      </w:r>
      <w:r w:rsidR="000818DC">
        <w:rPr>
          <w:lang w:val="en-US"/>
        </w:rPr>
        <w:t xml:space="preserve">overseas </w:t>
      </w:r>
      <w:r>
        <w:rPr>
          <w:lang w:val="en-US"/>
        </w:rPr>
        <w:t xml:space="preserve">markets, with a shift </w:t>
      </w:r>
      <w:r w:rsidR="000818DC">
        <w:rPr>
          <w:lang w:val="en-US"/>
        </w:rPr>
        <w:t>compared</w:t>
      </w:r>
      <w:r>
        <w:rPr>
          <w:lang w:val="en-US"/>
        </w:rPr>
        <w:t xml:space="preserve"> to the previous year in the Asian markets</w:t>
      </w:r>
      <w:r w:rsidR="000818DC">
        <w:rPr>
          <w:lang w:val="en-US"/>
        </w:rPr>
        <w:t xml:space="preserve"> especially</w:t>
      </w:r>
      <w:r>
        <w:rPr>
          <w:lang w:val="en-US"/>
        </w:rPr>
        <w:t>: China dropped back one place and is now fifth, while Switzerland once again moved ahead of South Korea up to seventh place and Australia was pushed out of the top 10 by Southeast Asia</w:t>
      </w:r>
      <w:r w:rsidR="003F3C71" w:rsidRPr="00607627">
        <w:rPr>
          <w:lang w:val="en-US"/>
        </w:rPr>
        <w:t>.</w:t>
      </w:r>
      <w:r w:rsidR="00F4575A" w:rsidRPr="00607627">
        <w:rPr>
          <w:lang w:val="en-US"/>
        </w:rPr>
        <w:t xml:space="preserve"> </w:t>
      </w:r>
    </w:p>
    <w:p w:rsidR="00C510CC" w:rsidRPr="00607627" w:rsidRDefault="00C510CC" w:rsidP="003A1318">
      <w:pPr>
        <w:jc w:val="both"/>
        <w:rPr>
          <w:b/>
          <w:lang w:val="en-US"/>
        </w:rPr>
      </w:pPr>
    </w:p>
    <w:tbl>
      <w:tblPr>
        <w:tblW w:w="9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275"/>
        <w:gridCol w:w="993"/>
        <w:gridCol w:w="2409"/>
        <w:gridCol w:w="1276"/>
        <w:gridCol w:w="960"/>
      </w:tblGrid>
      <w:tr w:rsidR="00C510CC" w:rsidRPr="00607627" w:rsidTr="00E1589E">
        <w:trPr>
          <w:trHeight w:val="418"/>
        </w:trPr>
        <w:tc>
          <w:tcPr>
            <w:tcW w:w="2307" w:type="dxa"/>
            <w:tcBorders>
              <w:bottom w:val="single" w:sz="4" w:space="0" w:color="auto"/>
            </w:tcBorders>
            <w:shd w:val="clear" w:color="auto" w:fill="D9D9D9"/>
          </w:tcPr>
          <w:p w:rsidR="000719FD" w:rsidRPr="00607627" w:rsidRDefault="000719FD" w:rsidP="003A1318">
            <w:pPr>
              <w:spacing w:before="120"/>
              <w:jc w:val="both"/>
              <w:rPr>
                <w:b/>
                <w:lang w:val="en-US"/>
              </w:rPr>
            </w:pPr>
            <w:r w:rsidRPr="00607627">
              <w:rPr>
                <w:b/>
                <w:lang w:val="en-US"/>
              </w:rPr>
              <w:t>201</w:t>
            </w:r>
            <w:r w:rsidR="003421BA" w:rsidRPr="00607627">
              <w:rPr>
                <w:b/>
                <w:lang w:val="en-US"/>
              </w:rPr>
              <w:t>8</w:t>
            </w:r>
          </w:p>
        </w:tc>
        <w:tc>
          <w:tcPr>
            <w:tcW w:w="1275" w:type="dxa"/>
            <w:tcBorders>
              <w:bottom w:val="single" w:sz="4" w:space="0" w:color="auto"/>
            </w:tcBorders>
            <w:shd w:val="clear" w:color="auto" w:fill="D9D9D9"/>
          </w:tcPr>
          <w:p w:rsidR="000719FD" w:rsidRPr="00607627" w:rsidRDefault="000719FD" w:rsidP="003A1318">
            <w:pPr>
              <w:spacing w:before="120"/>
              <w:jc w:val="both"/>
              <w:rPr>
                <w:b/>
                <w:lang w:val="en-US"/>
              </w:rPr>
            </w:pPr>
            <w:r w:rsidRPr="00607627">
              <w:rPr>
                <w:b/>
                <w:lang w:val="en-US"/>
              </w:rPr>
              <w:t>absolut</w:t>
            </w:r>
            <w:r w:rsidR="00FC108A">
              <w:rPr>
                <w:b/>
                <w:lang w:val="en-US"/>
              </w:rPr>
              <w:t>e</w:t>
            </w:r>
          </w:p>
        </w:tc>
        <w:tc>
          <w:tcPr>
            <w:tcW w:w="993" w:type="dxa"/>
            <w:tcBorders>
              <w:bottom w:val="single" w:sz="4" w:space="0" w:color="auto"/>
            </w:tcBorders>
            <w:shd w:val="clear" w:color="auto" w:fill="D9D9D9"/>
          </w:tcPr>
          <w:p w:rsidR="000719FD" w:rsidRPr="00607627" w:rsidRDefault="00FC108A" w:rsidP="003A1318">
            <w:pPr>
              <w:spacing w:before="120"/>
              <w:jc w:val="both"/>
              <w:rPr>
                <w:b/>
                <w:lang w:val="en-US"/>
              </w:rPr>
            </w:pPr>
            <w:r>
              <w:rPr>
                <w:b/>
                <w:lang w:val="en-US"/>
              </w:rPr>
              <w:t xml:space="preserve">share </w:t>
            </w:r>
            <w:r w:rsidR="000719FD" w:rsidRPr="00607627">
              <w:rPr>
                <w:b/>
                <w:lang w:val="en-US"/>
              </w:rPr>
              <w:t>in %</w:t>
            </w:r>
          </w:p>
        </w:tc>
        <w:tc>
          <w:tcPr>
            <w:tcW w:w="2409" w:type="dxa"/>
            <w:tcBorders>
              <w:bottom w:val="single" w:sz="4" w:space="0" w:color="auto"/>
            </w:tcBorders>
            <w:shd w:val="clear" w:color="auto" w:fill="D9D9D9"/>
          </w:tcPr>
          <w:p w:rsidR="000719FD" w:rsidRPr="00607627" w:rsidRDefault="000719FD" w:rsidP="003A1318">
            <w:pPr>
              <w:spacing w:before="120"/>
              <w:jc w:val="both"/>
              <w:rPr>
                <w:b/>
                <w:lang w:val="en-US"/>
              </w:rPr>
            </w:pPr>
            <w:r w:rsidRPr="00607627">
              <w:rPr>
                <w:b/>
                <w:lang w:val="en-US"/>
              </w:rPr>
              <w:t>201</w:t>
            </w:r>
            <w:r w:rsidR="003421BA" w:rsidRPr="00607627">
              <w:rPr>
                <w:b/>
                <w:lang w:val="en-US"/>
              </w:rPr>
              <w:t>7</w:t>
            </w:r>
          </w:p>
        </w:tc>
        <w:tc>
          <w:tcPr>
            <w:tcW w:w="1276" w:type="dxa"/>
            <w:tcBorders>
              <w:bottom w:val="single" w:sz="4" w:space="0" w:color="auto"/>
            </w:tcBorders>
            <w:shd w:val="clear" w:color="auto" w:fill="D9D9D9"/>
          </w:tcPr>
          <w:p w:rsidR="000719FD" w:rsidRPr="00607627" w:rsidRDefault="000719FD" w:rsidP="003A1318">
            <w:pPr>
              <w:spacing w:before="120"/>
              <w:jc w:val="both"/>
              <w:rPr>
                <w:b/>
                <w:lang w:val="en-US"/>
              </w:rPr>
            </w:pPr>
            <w:r w:rsidRPr="00607627">
              <w:rPr>
                <w:b/>
                <w:lang w:val="en-US"/>
              </w:rPr>
              <w:t>absolut</w:t>
            </w:r>
            <w:r w:rsidR="00FC108A">
              <w:rPr>
                <w:b/>
                <w:lang w:val="en-US"/>
              </w:rPr>
              <w:t>e</w:t>
            </w:r>
          </w:p>
        </w:tc>
        <w:tc>
          <w:tcPr>
            <w:tcW w:w="960" w:type="dxa"/>
            <w:tcBorders>
              <w:bottom w:val="single" w:sz="4" w:space="0" w:color="auto"/>
            </w:tcBorders>
            <w:shd w:val="clear" w:color="auto" w:fill="D9D9D9"/>
          </w:tcPr>
          <w:p w:rsidR="000719FD" w:rsidRPr="00607627" w:rsidRDefault="00FC108A" w:rsidP="00E1589E">
            <w:pPr>
              <w:spacing w:before="120"/>
              <w:jc w:val="both"/>
              <w:rPr>
                <w:b/>
                <w:lang w:val="en-US"/>
              </w:rPr>
            </w:pPr>
            <w:r>
              <w:rPr>
                <w:b/>
                <w:lang w:val="en-US"/>
              </w:rPr>
              <w:t xml:space="preserve">share </w:t>
            </w:r>
            <w:r w:rsidR="000719FD" w:rsidRPr="00607627">
              <w:rPr>
                <w:b/>
                <w:lang w:val="en-US"/>
              </w:rPr>
              <w:t>in %</w:t>
            </w:r>
          </w:p>
        </w:tc>
      </w:tr>
      <w:tr w:rsidR="00C510CC" w:rsidRPr="00607627" w:rsidTr="00E1589E">
        <w:trPr>
          <w:trHeight w:val="418"/>
        </w:trPr>
        <w:tc>
          <w:tcPr>
            <w:tcW w:w="2307" w:type="dxa"/>
            <w:tcBorders>
              <w:bottom w:val="nil"/>
            </w:tcBorders>
            <w:shd w:val="clear" w:color="auto" w:fill="FFFFFF"/>
          </w:tcPr>
          <w:p w:rsidR="000719FD" w:rsidRPr="00607627" w:rsidRDefault="000719FD" w:rsidP="003A1318">
            <w:pPr>
              <w:spacing w:before="120"/>
              <w:jc w:val="both"/>
              <w:rPr>
                <w:b/>
                <w:lang w:val="en-US"/>
              </w:rPr>
            </w:pPr>
          </w:p>
        </w:tc>
        <w:tc>
          <w:tcPr>
            <w:tcW w:w="1275" w:type="dxa"/>
            <w:tcBorders>
              <w:bottom w:val="nil"/>
            </w:tcBorders>
            <w:shd w:val="clear" w:color="auto" w:fill="FFFFFF"/>
          </w:tcPr>
          <w:p w:rsidR="000719FD" w:rsidRPr="00607627" w:rsidRDefault="000719FD" w:rsidP="003A1318">
            <w:pPr>
              <w:spacing w:before="120"/>
              <w:jc w:val="both"/>
              <w:rPr>
                <w:b/>
                <w:lang w:val="en-US"/>
              </w:rPr>
            </w:pPr>
          </w:p>
        </w:tc>
        <w:tc>
          <w:tcPr>
            <w:tcW w:w="993" w:type="dxa"/>
            <w:tcBorders>
              <w:bottom w:val="nil"/>
            </w:tcBorders>
            <w:shd w:val="clear" w:color="auto" w:fill="FFFFFF"/>
          </w:tcPr>
          <w:p w:rsidR="000719FD" w:rsidRPr="00607627" w:rsidRDefault="000719FD" w:rsidP="003A1318">
            <w:pPr>
              <w:spacing w:before="120"/>
              <w:jc w:val="both"/>
              <w:rPr>
                <w:b/>
                <w:lang w:val="en-US"/>
              </w:rPr>
            </w:pPr>
          </w:p>
        </w:tc>
        <w:tc>
          <w:tcPr>
            <w:tcW w:w="2409" w:type="dxa"/>
            <w:tcBorders>
              <w:bottom w:val="nil"/>
            </w:tcBorders>
            <w:shd w:val="clear" w:color="auto" w:fill="FFFFFF"/>
          </w:tcPr>
          <w:p w:rsidR="000719FD" w:rsidRPr="00607627" w:rsidRDefault="000719FD" w:rsidP="003A1318">
            <w:pPr>
              <w:spacing w:before="120"/>
              <w:jc w:val="both"/>
              <w:rPr>
                <w:b/>
                <w:lang w:val="en-US"/>
              </w:rPr>
            </w:pPr>
          </w:p>
        </w:tc>
        <w:tc>
          <w:tcPr>
            <w:tcW w:w="1276" w:type="dxa"/>
            <w:tcBorders>
              <w:bottom w:val="nil"/>
            </w:tcBorders>
            <w:shd w:val="clear" w:color="auto" w:fill="FFFFFF"/>
          </w:tcPr>
          <w:p w:rsidR="000719FD" w:rsidRPr="00607627" w:rsidRDefault="000719FD" w:rsidP="003A1318">
            <w:pPr>
              <w:spacing w:before="120"/>
              <w:jc w:val="both"/>
              <w:rPr>
                <w:b/>
                <w:lang w:val="en-US"/>
              </w:rPr>
            </w:pPr>
          </w:p>
        </w:tc>
        <w:tc>
          <w:tcPr>
            <w:tcW w:w="960" w:type="dxa"/>
            <w:tcBorders>
              <w:bottom w:val="nil"/>
            </w:tcBorders>
            <w:shd w:val="clear" w:color="auto" w:fill="FFFFFF"/>
          </w:tcPr>
          <w:p w:rsidR="000719FD" w:rsidRPr="00607627" w:rsidRDefault="000719FD" w:rsidP="003A1318">
            <w:pPr>
              <w:spacing w:before="120"/>
              <w:jc w:val="both"/>
              <w:rPr>
                <w:b/>
                <w:lang w:val="en-US"/>
              </w:rPr>
            </w:pPr>
          </w:p>
        </w:tc>
      </w:tr>
      <w:tr w:rsidR="003421BA" w:rsidRPr="00607627" w:rsidTr="00E1589E">
        <w:trPr>
          <w:trHeight w:val="290"/>
        </w:trPr>
        <w:tc>
          <w:tcPr>
            <w:tcW w:w="2307" w:type="dxa"/>
            <w:tcBorders>
              <w:top w:val="nil"/>
            </w:tcBorders>
          </w:tcPr>
          <w:p w:rsidR="003421BA" w:rsidRPr="00607627" w:rsidRDefault="003421BA" w:rsidP="003421BA">
            <w:pPr>
              <w:spacing w:after="40" w:line="360" w:lineRule="auto"/>
              <w:jc w:val="both"/>
              <w:rPr>
                <w:lang w:val="en-US"/>
              </w:rPr>
            </w:pPr>
            <w:r w:rsidRPr="00607627">
              <w:rPr>
                <w:lang w:val="en-US"/>
              </w:rPr>
              <w:t xml:space="preserve">1. </w:t>
            </w:r>
            <w:r w:rsidR="00FC108A">
              <w:rPr>
                <w:lang w:val="en-US"/>
              </w:rPr>
              <w:t>Austria</w:t>
            </w:r>
          </w:p>
          <w:p w:rsidR="003421BA" w:rsidRPr="00607627" w:rsidRDefault="003421BA" w:rsidP="003421BA">
            <w:pPr>
              <w:spacing w:after="40" w:line="360" w:lineRule="auto"/>
              <w:jc w:val="both"/>
              <w:rPr>
                <w:lang w:val="en-US"/>
              </w:rPr>
            </w:pPr>
            <w:r w:rsidRPr="00607627">
              <w:rPr>
                <w:lang w:val="en-US"/>
              </w:rPr>
              <w:t xml:space="preserve">2. </w:t>
            </w:r>
            <w:r w:rsidR="00FC108A">
              <w:rPr>
                <w:lang w:val="en-US"/>
              </w:rPr>
              <w:t>Germany</w:t>
            </w:r>
          </w:p>
          <w:p w:rsidR="003421BA" w:rsidRPr="00607627" w:rsidRDefault="003421BA" w:rsidP="003421BA">
            <w:pPr>
              <w:spacing w:after="40" w:line="360" w:lineRule="auto"/>
              <w:jc w:val="both"/>
              <w:rPr>
                <w:lang w:val="en-US"/>
              </w:rPr>
            </w:pPr>
            <w:r w:rsidRPr="00607627">
              <w:rPr>
                <w:lang w:val="en-US"/>
              </w:rPr>
              <w:t>3. USA</w:t>
            </w:r>
          </w:p>
          <w:p w:rsidR="003421BA" w:rsidRPr="00607627" w:rsidRDefault="003421BA" w:rsidP="003421BA">
            <w:pPr>
              <w:spacing w:after="40" w:line="360" w:lineRule="auto"/>
              <w:jc w:val="both"/>
              <w:rPr>
                <w:lang w:val="en-US"/>
              </w:rPr>
            </w:pPr>
            <w:r w:rsidRPr="00607627">
              <w:rPr>
                <w:lang w:val="en-US"/>
              </w:rPr>
              <w:t xml:space="preserve">4. </w:t>
            </w:r>
            <w:r w:rsidR="00FC108A">
              <w:rPr>
                <w:lang w:val="en-US"/>
              </w:rPr>
              <w:t>Great Britain</w:t>
            </w:r>
          </w:p>
          <w:p w:rsidR="003421BA" w:rsidRPr="00607627" w:rsidRDefault="003421BA" w:rsidP="003421BA">
            <w:pPr>
              <w:spacing w:after="40" w:line="360" w:lineRule="auto"/>
              <w:jc w:val="both"/>
              <w:rPr>
                <w:lang w:val="en-US"/>
              </w:rPr>
            </w:pPr>
            <w:r w:rsidRPr="00607627">
              <w:rPr>
                <w:lang w:val="en-US"/>
              </w:rPr>
              <w:t xml:space="preserve">5. </w:t>
            </w:r>
            <w:r w:rsidR="00810C4D" w:rsidRPr="00607627">
              <w:rPr>
                <w:lang w:val="en-US"/>
              </w:rPr>
              <w:t>China</w:t>
            </w:r>
            <w:r w:rsidRPr="00607627">
              <w:rPr>
                <w:lang w:val="en-US"/>
              </w:rPr>
              <w:t xml:space="preserve"> </w:t>
            </w:r>
          </w:p>
          <w:p w:rsidR="003421BA" w:rsidRPr="00607627" w:rsidRDefault="003421BA" w:rsidP="003421BA">
            <w:pPr>
              <w:spacing w:after="40" w:line="360" w:lineRule="auto"/>
              <w:jc w:val="both"/>
              <w:rPr>
                <w:lang w:val="en-US"/>
              </w:rPr>
            </w:pPr>
            <w:r w:rsidRPr="00607627">
              <w:rPr>
                <w:lang w:val="en-US"/>
              </w:rPr>
              <w:t xml:space="preserve">6. </w:t>
            </w:r>
            <w:r w:rsidR="00FC108A">
              <w:rPr>
                <w:lang w:val="en-US"/>
              </w:rPr>
              <w:t>Italy</w:t>
            </w:r>
          </w:p>
          <w:p w:rsidR="003421BA" w:rsidRPr="00607627" w:rsidRDefault="003421BA" w:rsidP="003421BA">
            <w:pPr>
              <w:spacing w:after="40" w:line="360" w:lineRule="auto"/>
              <w:jc w:val="both"/>
              <w:rPr>
                <w:lang w:val="en-US"/>
              </w:rPr>
            </w:pPr>
            <w:r w:rsidRPr="00607627">
              <w:rPr>
                <w:lang w:val="en-US"/>
              </w:rPr>
              <w:t xml:space="preserve">7. </w:t>
            </w:r>
            <w:r w:rsidR="00FC108A">
              <w:rPr>
                <w:lang w:val="en-US"/>
              </w:rPr>
              <w:t>Switzerland</w:t>
            </w:r>
          </w:p>
          <w:p w:rsidR="003421BA" w:rsidRPr="00607627" w:rsidRDefault="003421BA" w:rsidP="003421BA">
            <w:pPr>
              <w:spacing w:after="40" w:line="360" w:lineRule="auto"/>
              <w:jc w:val="both"/>
              <w:rPr>
                <w:lang w:val="en-US"/>
              </w:rPr>
            </w:pPr>
            <w:r w:rsidRPr="00607627">
              <w:rPr>
                <w:lang w:val="en-US"/>
              </w:rPr>
              <w:t xml:space="preserve">8. </w:t>
            </w:r>
            <w:r w:rsidR="00FC108A">
              <w:rPr>
                <w:lang w:val="en-US"/>
              </w:rPr>
              <w:t>South Korea</w:t>
            </w:r>
          </w:p>
          <w:p w:rsidR="003421BA" w:rsidRPr="00607627" w:rsidRDefault="003421BA" w:rsidP="003421BA">
            <w:pPr>
              <w:spacing w:after="40" w:line="360" w:lineRule="auto"/>
              <w:jc w:val="both"/>
              <w:rPr>
                <w:lang w:val="en-US"/>
              </w:rPr>
            </w:pPr>
            <w:r w:rsidRPr="00607627">
              <w:rPr>
                <w:lang w:val="en-US"/>
              </w:rPr>
              <w:t xml:space="preserve">9. </w:t>
            </w:r>
            <w:r w:rsidR="00FC108A">
              <w:rPr>
                <w:lang w:val="en-US"/>
              </w:rPr>
              <w:t>Southeast Asia</w:t>
            </w:r>
          </w:p>
          <w:p w:rsidR="003421BA" w:rsidRPr="00607627" w:rsidRDefault="003421BA" w:rsidP="003421BA">
            <w:pPr>
              <w:spacing w:after="40" w:line="360" w:lineRule="auto"/>
              <w:jc w:val="both"/>
              <w:rPr>
                <w:lang w:val="en-US"/>
              </w:rPr>
            </w:pPr>
            <w:r w:rsidRPr="00607627">
              <w:rPr>
                <w:lang w:val="en-US"/>
              </w:rPr>
              <w:t>10. Taiwan</w:t>
            </w:r>
          </w:p>
        </w:tc>
        <w:tc>
          <w:tcPr>
            <w:tcW w:w="1275" w:type="dxa"/>
            <w:tcBorders>
              <w:top w:val="nil"/>
            </w:tcBorders>
          </w:tcPr>
          <w:p w:rsidR="003421BA" w:rsidRPr="00607627" w:rsidRDefault="00810C4D" w:rsidP="003421BA">
            <w:pPr>
              <w:spacing w:after="40" w:line="360" w:lineRule="auto"/>
              <w:jc w:val="both"/>
              <w:rPr>
                <w:lang w:val="en-US"/>
              </w:rPr>
            </w:pPr>
            <w:r w:rsidRPr="00607627">
              <w:rPr>
                <w:lang w:val="en-US"/>
              </w:rPr>
              <w:t>728</w:t>
            </w:r>
            <w:r w:rsidR="00FC108A">
              <w:rPr>
                <w:lang w:val="en-US"/>
              </w:rPr>
              <w:t>,</w:t>
            </w:r>
            <w:r w:rsidRPr="00607627">
              <w:rPr>
                <w:lang w:val="en-US"/>
              </w:rPr>
              <w:t>039</w:t>
            </w:r>
          </w:p>
          <w:p w:rsidR="003421BA" w:rsidRPr="00607627" w:rsidRDefault="00810C4D" w:rsidP="003421BA">
            <w:pPr>
              <w:spacing w:after="40" w:line="360" w:lineRule="auto"/>
              <w:jc w:val="both"/>
              <w:rPr>
                <w:lang w:val="en-US"/>
              </w:rPr>
            </w:pPr>
            <w:r w:rsidRPr="00607627">
              <w:rPr>
                <w:lang w:val="en-US"/>
              </w:rPr>
              <w:t>628</w:t>
            </w:r>
            <w:r w:rsidR="00FC108A">
              <w:rPr>
                <w:lang w:val="en-US"/>
              </w:rPr>
              <w:t>,</w:t>
            </w:r>
            <w:r w:rsidRPr="00607627">
              <w:rPr>
                <w:lang w:val="en-US"/>
              </w:rPr>
              <w:t>101</w:t>
            </w:r>
          </w:p>
          <w:p w:rsidR="003421BA" w:rsidRPr="00607627" w:rsidRDefault="00810C4D" w:rsidP="003421BA">
            <w:pPr>
              <w:spacing w:after="40" w:line="360" w:lineRule="auto"/>
              <w:jc w:val="both"/>
              <w:rPr>
                <w:lang w:val="en-US"/>
              </w:rPr>
            </w:pPr>
            <w:r w:rsidRPr="00607627">
              <w:rPr>
                <w:lang w:val="en-US"/>
              </w:rPr>
              <w:t>271</w:t>
            </w:r>
            <w:r w:rsidR="00FC108A">
              <w:rPr>
                <w:lang w:val="en-US"/>
              </w:rPr>
              <w:t>,</w:t>
            </w:r>
            <w:r w:rsidRPr="00607627">
              <w:rPr>
                <w:lang w:val="en-US"/>
              </w:rPr>
              <w:t>389</w:t>
            </w:r>
          </w:p>
          <w:p w:rsidR="003421BA" w:rsidRPr="00607627" w:rsidRDefault="00810C4D" w:rsidP="003421BA">
            <w:pPr>
              <w:spacing w:after="40" w:line="360" w:lineRule="auto"/>
              <w:jc w:val="both"/>
              <w:rPr>
                <w:lang w:val="en-US"/>
              </w:rPr>
            </w:pPr>
            <w:r w:rsidRPr="00607627">
              <w:rPr>
                <w:lang w:val="en-US"/>
              </w:rPr>
              <w:t>133</w:t>
            </w:r>
            <w:r w:rsidR="00FC108A">
              <w:rPr>
                <w:lang w:val="en-US"/>
              </w:rPr>
              <w:t>,</w:t>
            </w:r>
            <w:r w:rsidRPr="00607627">
              <w:rPr>
                <w:lang w:val="en-US"/>
              </w:rPr>
              <w:t>345</w:t>
            </w:r>
          </w:p>
          <w:p w:rsidR="003421BA" w:rsidRPr="00607627" w:rsidRDefault="00810C4D" w:rsidP="003421BA">
            <w:pPr>
              <w:spacing w:after="40" w:line="360" w:lineRule="auto"/>
              <w:jc w:val="both"/>
              <w:rPr>
                <w:lang w:val="en-US"/>
              </w:rPr>
            </w:pPr>
            <w:r w:rsidRPr="00607627">
              <w:rPr>
                <w:lang w:val="en-US"/>
              </w:rPr>
              <w:t>129</w:t>
            </w:r>
            <w:r w:rsidR="00FC108A">
              <w:rPr>
                <w:lang w:val="en-US"/>
              </w:rPr>
              <w:t>,</w:t>
            </w:r>
            <w:r w:rsidRPr="00607627">
              <w:rPr>
                <w:lang w:val="en-US"/>
              </w:rPr>
              <w:t>710</w:t>
            </w:r>
          </w:p>
          <w:p w:rsidR="003421BA" w:rsidRPr="00607627" w:rsidRDefault="00810C4D" w:rsidP="003421BA">
            <w:pPr>
              <w:spacing w:after="40" w:line="360" w:lineRule="auto"/>
              <w:jc w:val="both"/>
              <w:rPr>
                <w:lang w:val="en-US"/>
              </w:rPr>
            </w:pPr>
            <w:r w:rsidRPr="00607627">
              <w:rPr>
                <w:lang w:val="en-US"/>
              </w:rPr>
              <w:t>110</w:t>
            </w:r>
            <w:r w:rsidR="00FC108A">
              <w:rPr>
                <w:lang w:val="en-US"/>
              </w:rPr>
              <w:t>,</w:t>
            </w:r>
            <w:r w:rsidRPr="00607627">
              <w:rPr>
                <w:lang w:val="en-US"/>
              </w:rPr>
              <w:t>476</w:t>
            </w:r>
          </w:p>
          <w:p w:rsidR="003421BA" w:rsidRPr="00607627" w:rsidRDefault="003421BA" w:rsidP="003421BA">
            <w:pPr>
              <w:spacing w:after="40" w:line="360" w:lineRule="auto"/>
              <w:jc w:val="both"/>
              <w:rPr>
                <w:lang w:val="en-US"/>
              </w:rPr>
            </w:pPr>
            <w:r w:rsidRPr="00607627">
              <w:rPr>
                <w:lang w:val="en-US"/>
              </w:rPr>
              <w:t xml:space="preserve">  </w:t>
            </w:r>
            <w:r w:rsidR="00810C4D" w:rsidRPr="00607627">
              <w:rPr>
                <w:lang w:val="en-US"/>
              </w:rPr>
              <w:t>79</w:t>
            </w:r>
            <w:r w:rsidR="00FC108A">
              <w:rPr>
                <w:lang w:val="en-US"/>
              </w:rPr>
              <w:t>,</w:t>
            </w:r>
            <w:r w:rsidR="00810C4D" w:rsidRPr="00607627">
              <w:rPr>
                <w:lang w:val="en-US"/>
              </w:rPr>
              <w:t>381</w:t>
            </w:r>
          </w:p>
          <w:p w:rsidR="003421BA" w:rsidRPr="00607627" w:rsidRDefault="003421BA" w:rsidP="003421BA">
            <w:pPr>
              <w:spacing w:after="40" w:line="360" w:lineRule="auto"/>
              <w:jc w:val="both"/>
              <w:rPr>
                <w:lang w:val="en-US"/>
              </w:rPr>
            </w:pPr>
            <w:r w:rsidRPr="00607627">
              <w:rPr>
                <w:lang w:val="en-US"/>
              </w:rPr>
              <w:t xml:space="preserve">  </w:t>
            </w:r>
            <w:r w:rsidR="00810C4D" w:rsidRPr="00607627">
              <w:rPr>
                <w:lang w:val="en-US"/>
              </w:rPr>
              <w:t>77</w:t>
            </w:r>
            <w:r w:rsidR="00FC108A">
              <w:rPr>
                <w:lang w:val="en-US"/>
              </w:rPr>
              <w:t>,</w:t>
            </w:r>
            <w:r w:rsidR="00810C4D" w:rsidRPr="00607627">
              <w:rPr>
                <w:lang w:val="en-US"/>
              </w:rPr>
              <w:t>690</w:t>
            </w:r>
          </w:p>
          <w:p w:rsidR="003421BA" w:rsidRPr="00607627" w:rsidRDefault="003421BA" w:rsidP="003421BA">
            <w:pPr>
              <w:spacing w:after="40" w:line="360" w:lineRule="auto"/>
              <w:jc w:val="both"/>
              <w:rPr>
                <w:lang w:val="en-US"/>
              </w:rPr>
            </w:pPr>
            <w:r w:rsidRPr="00607627">
              <w:rPr>
                <w:lang w:val="en-US"/>
              </w:rPr>
              <w:t xml:space="preserve">  </w:t>
            </w:r>
            <w:r w:rsidR="00294E7E" w:rsidRPr="00607627">
              <w:rPr>
                <w:lang w:val="en-US"/>
              </w:rPr>
              <w:t>64</w:t>
            </w:r>
            <w:r w:rsidR="00FC108A">
              <w:rPr>
                <w:lang w:val="en-US"/>
              </w:rPr>
              <w:t>,</w:t>
            </w:r>
            <w:r w:rsidR="00294E7E" w:rsidRPr="00607627">
              <w:rPr>
                <w:lang w:val="en-US"/>
              </w:rPr>
              <w:t>018</w:t>
            </w:r>
          </w:p>
          <w:p w:rsidR="003421BA" w:rsidRPr="00607627" w:rsidRDefault="003421BA" w:rsidP="00294E7E">
            <w:pPr>
              <w:spacing w:after="40" w:line="360" w:lineRule="auto"/>
              <w:jc w:val="both"/>
              <w:rPr>
                <w:lang w:val="en-US"/>
              </w:rPr>
            </w:pPr>
            <w:r w:rsidRPr="00607627">
              <w:rPr>
                <w:lang w:val="en-US"/>
              </w:rPr>
              <w:t xml:space="preserve">  </w:t>
            </w:r>
            <w:r w:rsidR="00294E7E" w:rsidRPr="00607627">
              <w:rPr>
                <w:lang w:val="en-US"/>
              </w:rPr>
              <w:t>57</w:t>
            </w:r>
            <w:r w:rsidR="00FC108A">
              <w:rPr>
                <w:lang w:val="en-US"/>
              </w:rPr>
              <w:t>,</w:t>
            </w:r>
            <w:r w:rsidR="00294E7E" w:rsidRPr="00607627">
              <w:rPr>
                <w:lang w:val="en-US"/>
              </w:rPr>
              <w:t>580</w:t>
            </w:r>
          </w:p>
        </w:tc>
        <w:tc>
          <w:tcPr>
            <w:tcW w:w="993" w:type="dxa"/>
            <w:tcBorders>
              <w:top w:val="nil"/>
            </w:tcBorders>
          </w:tcPr>
          <w:p w:rsidR="003421BA" w:rsidRPr="00607627" w:rsidRDefault="003421BA" w:rsidP="003421BA">
            <w:pPr>
              <w:spacing w:after="40" w:line="360" w:lineRule="auto"/>
              <w:jc w:val="both"/>
              <w:rPr>
                <w:lang w:val="en-US"/>
              </w:rPr>
            </w:pPr>
            <w:r w:rsidRPr="00607627">
              <w:rPr>
                <w:lang w:val="en-US"/>
              </w:rPr>
              <w:t>2</w:t>
            </w:r>
            <w:r w:rsidR="00294E7E" w:rsidRPr="00607627">
              <w:rPr>
                <w:lang w:val="en-US"/>
              </w:rPr>
              <w:t>3</w:t>
            </w:r>
            <w:r w:rsidR="00FC108A">
              <w:rPr>
                <w:lang w:val="en-US"/>
              </w:rPr>
              <w:t>.</w:t>
            </w:r>
            <w:r w:rsidR="00294E7E" w:rsidRPr="00607627">
              <w:rPr>
                <w:lang w:val="en-US"/>
              </w:rPr>
              <w:t>2</w:t>
            </w:r>
            <w:r w:rsidR="00E1589E" w:rsidRPr="00607627">
              <w:rPr>
                <w:lang w:val="en-US"/>
              </w:rPr>
              <w:t xml:space="preserve"> </w:t>
            </w:r>
            <w:r w:rsidRPr="00607627">
              <w:rPr>
                <w:lang w:val="en-US"/>
              </w:rPr>
              <w:t>%</w:t>
            </w:r>
          </w:p>
          <w:p w:rsidR="003421BA" w:rsidRPr="00607627" w:rsidRDefault="00294E7E" w:rsidP="003421BA">
            <w:pPr>
              <w:spacing w:after="40" w:line="360" w:lineRule="auto"/>
              <w:jc w:val="both"/>
              <w:rPr>
                <w:lang w:val="en-US"/>
              </w:rPr>
            </w:pPr>
            <w:r w:rsidRPr="00607627">
              <w:rPr>
                <w:lang w:val="en-US"/>
              </w:rPr>
              <w:t>20</w:t>
            </w:r>
            <w:r w:rsidR="00FC108A">
              <w:rPr>
                <w:lang w:val="en-US"/>
              </w:rPr>
              <w:t>.</w:t>
            </w:r>
            <w:r w:rsidRPr="00607627">
              <w:rPr>
                <w:lang w:val="en-US"/>
              </w:rPr>
              <w:t>0</w:t>
            </w:r>
            <w:r w:rsidR="00E1589E" w:rsidRPr="00607627">
              <w:rPr>
                <w:lang w:val="en-US"/>
              </w:rPr>
              <w:t xml:space="preserve"> </w:t>
            </w:r>
            <w:r w:rsidR="003421BA" w:rsidRPr="00607627">
              <w:rPr>
                <w:lang w:val="en-US"/>
              </w:rPr>
              <w:t>%</w:t>
            </w:r>
          </w:p>
          <w:p w:rsidR="003421BA" w:rsidRPr="00607627" w:rsidRDefault="00294E7E" w:rsidP="003421BA">
            <w:pPr>
              <w:spacing w:after="40" w:line="360" w:lineRule="auto"/>
              <w:jc w:val="both"/>
              <w:rPr>
                <w:lang w:val="en-US"/>
              </w:rPr>
            </w:pPr>
            <w:r w:rsidRPr="00607627">
              <w:rPr>
                <w:lang w:val="en-US"/>
              </w:rPr>
              <w:t xml:space="preserve">  8</w:t>
            </w:r>
            <w:r w:rsidR="00FC108A">
              <w:rPr>
                <w:lang w:val="en-US"/>
              </w:rPr>
              <w:t>.</w:t>
            </w:r>
            <w:r w:rsidRPr="00607627">
              <w:rPr>
                <w:lang w:val="en-US"/>
              </w:rPr>
              <w:t>6</w:t>
            </w:r>
            <w:r w:rsidR="00E1589E" w:rsidRPr="00607627">
              <w:rPr>
                <w:lang w:val="en-US"/>
              </w:rPr>
              <w:t xml:space="preserve"> </w:t>
            </w:r>
            <w:r w:rsidR="003421BA" w:rsidRPr="00607627">
              <w:rPr>
                <w:lang w:val="en-US"/>
              </w:rPr>
              <w:t>%</w:t>
            </w:r>
          </w:p>
          <w:p w:rsidR="003421BA" w:rsidRPr="00607627" w:rsidRDefault="003421BA" w:rsidP="003421BA">
            <w:pPr>
              <w:spacing w:after="40" w:line="360" w:lineRule="auto"/>
              <w:jc w:val="both"/>
              <w:rPr>
                <w:lang w:val="en-US"/>
              </w:rPr>
            </w:pPr>
            <w:r w:rsidRPr="00607627">
              <w:rPr>
                <w:lang w:val="en-US"/>
              </w:rPr>
              <w:t xml:space="preserve">  4</w:t>
            </w:r>
            <w:r w:rsidR="00FC108A">
              <w:rPr>
                <w:lang w:val="en-US"/>
              </w:rPr>
              <w:t>.</w:t>
            </w:r>
            <w:r w:rsidRPr="00607627">
              <w:rPr>
                <w:lang w:val="en-US"/>
              </w:rPr>
              <w:t>2</w:t>
            </w:r>
            <w:r w:rsidR="00E1589E" w:rsidRPr="00607627">
              <w:rPr>
                <w:lang w:val="en-US"/>
              </w:rPr>
              <w:t xml:space="preserve"> </w:t>
            </w:r>
            <w:r w:rsidRPr="00607627">
              <w:rPr>
                <w:lang w:val="en-US"/>
              </w:rPr>
              <w:t>%</w:t>
            </w:r>
          </w:p>
          <w:p w:rsidR="003421BA" w:rsidRPr="00607627" w:rsidRDefault="003421BA" w:rsidP="003421BA">
            <w:pPr>
              <w:spacing w:after="40" w:line="360" w:lineRule="auto"/>
              <w:jc w:val="both"/>
              <w:rPr>
                <w:lang w:val="en-US"/>
              </w:rPr>
            </w:pPr>
            <w:r w:rsidRPr="00607627">
              <w:rPr>
                <w:lang w:val="en-US"/>
              </w:rPr>
              <w:t xml:space="preserve">  4</w:t>
            </w:r>
            <w:r w:rsidR="00FC108A">
              <w:rPr>
                <w:lang w:val="en-US"/>
              </w:rPr>
              <w:t>.</w:t>
            </w:r>
            <w:r w:rsidRPr="00607627">
              <w:rPr>
                <w:lang w:val="en-US"/>
              </w:rPr>
              <w:t>1</w:t>
            </w:r>
            <w:r w:rsidR="00E1589E" w:rsidRPr="00607627">
              <w:rPr>
                <w:lang w:val="en-US"/>
              </w:rPr>
              <w:t xml:space="preserve"> </w:t>
            </w:r>
            <w:r w:rsidRPr="00607627">
              <w:rPr>
                <w:lang w:val="en-US"/>
              </w:rPr>
              <w:t>%</w:t>
            </w:r>
          </w:p>
          <w:p w:rsidR="003421BA" w:rsidRPr="00607627" w:rsidRDefault="00457470" w:rsidP="003421BA">
            <w:pPr>
              <w:spacing w:after="40" w:line="360" w:lineRule="auto"/>
              <w:jc w:val="both"/>
              <w:rPr>
                <w:lang w:val="en-US"/>
              </w:rPr>
            </w:pPr>
            <w:r w:rsidRPr="00607627">
              <w:rPr>
                <w:lang w:val="en-US"/>
              </w:rPr>
              <w:t xml:space="preserve">  3</w:t>
            </w:r>
            <w:r w:rsidR="00FC108A">
              <w:rPr>
                <w:lang w:val="en-US"/>
              </w:rPr>
              <w:t>.</w:t>
            </w:r>
            <w:r w:rsidRPr="00607627">
              <w:rPr>
                <w:lang w:val="en-US"/>
              </w:rPr>
              <w:t>5</w:t>
            </w:r>
            <w:r w:rsidR="00E1589E" w:rsidRPr="00607627">
              <w:rPr>
                <w:lang w:val="en-US"/>
              </w:rPr>
              <w:t xml:space="preserve"> </w:t>
            </w:r>
            <w:r w:rsidR="003421BA" w:rsidRPr="00607627">
              <w:rPr>
                <w:lang w:val="en-US"/>
              </w:rPr>
              <w:t>%</w:t>
            </w:r>
          </w:p>
          <w:p w:rsidR="003421BA" w:rsidRPr="00607627" w:rsidRDefault="003421BA" w:rsidP="003421BA">
            <w:pPr>
              <w:spacing w:after="40" w:line="360" w:lineRule="auto"/>
              <w:jc w:val="both"/>
              <w:rPr>
                <w:lang w:val="en-US"/>
              </w:rPr>
            </w:pPr>
            <w:r w:rsidRPr="00607627">
              <w:rPr>
                <w:lang w:val="en-US"/>
              </w:rPr>
              <w:t xml:space="preserve">  2</w:t>
            </w:r>
            <w:r w:rsidR="00FC108A">
              <w:rPr>
                <w:lang w:val="en-US"/>
              </w:rPr>
              <w:t>.</w:t>
            </w:r>
            <w:r w:rsidRPr="00607627">
              <w:rPr>
                <w:lang w:val="en-US"/>
              </w:rPr>
              <w:t>5</w:t>
            </w:r>
            <w:r w:rsidR="00E1589E" w:rsidRPr="00607627">
              <w:rPr>
                <w:lang w:val="en-US"/>
              </w:rPr>
              <w:t xml:space="preserve"> </w:t>
            </w:r>
            <w:r w:rsidRPr="00607627">
              <w:rPr>
                <w:lang w:val="en-US"/>
              </w:rPr>
              <w:t>%</w:t>
            </w:r>
          </w:p>
          <w:p w:rsidR="003421BA" w:rsidRPr="00607627" w:rsidRDefault="003421BA" w:rsidP="003421BA">
            <w:pPr>
              <w:spacing w:after="40" w:line="360" w:lineRule="auto"/>
              <w:jc w:val="both"/>
              <w:rPr>
                <w:lang w:val="en-US"/>
              </w:rPr>
            </w:pPr>
            <w:r w:rsidRPr="00607627">
              <w:rPr>
                <w:lang w:val="en-US"/>
              </w:rPr>
              <w:t xml:space="preserve">  2</w:t>
            </w:r>
            <w:r w:rsidR="00FC108A">
              <w:rPr>
                <w:lang w:val="en-US"/>
              </w:rPr>
              <w:t>.</w:t>
            </w:r>
            <w:r w:rsidRPr="00607627">
              <w:rPr>
                <w:lang w:val="en-US"/>
              </w:rPr>
              <w:t>5</w:t>
            </w:r>
            <w:r w:rsidR="00E1589E" w:rsidRPr="00607627">
              <w:rPr>
                <w:lang w:val="en-US"/>
              </w:rPr>
              <w:t xml:space="preserve"> </w:t>
            </w:r>
            <w:r w:rsidRPr="00607627">
              <w:rPr>
                <w:lang w:val="en-US"/>
              </w:rPr>
              <w:t>%</w:t>
            </w:r>
          </w:p>
          <w:p w:rsidR="003421BA" w:rsidRPr="00607627" w:rsidRDefault="00457470" w:rsidP="003421BA">
            <w:pPr>
              <w:spacing w:after="40" w:line="360" w:lineRule="auto"/>
              <w:jc w:val="both"/>
              <w:rPr>
                <w:lang w:val="en-US"/>
              </w:rPr>
            </w:pPr>
            <w:r w:rsidRPr="00607627">
              <w:rPr>
                <w:lang w:val="en-US"/>
              </w:rPr>
              <w:t xml:space="preserve">  2</w:t>
            </w:r>
            <w:r w:rsidR="00FC108A">
              <w:rPr>
                <w:lang w:val="en-US"/>
              </w:rPr>
              <w:t>.</w:t>
            </w:r>
            <w:r w:rsidRPr="00607627">
              <w:rPr>
                <w:lang w:val="en-US"/>
              </w:rPr>
              <w:t>0</w:t>
            </w:r>
            <w:r w:rsidR="00E1589E" w:rsidRPr="00607627">
              <w:rPr>
                <w:lang w:val="en-US"/>
              </w:rPr>
              <w:t xml:space="preserve"> </w:t>
            </w:r>
            <w:r w:rsidR="003421BA" w:rsidRPr="00607627">
              <w:rPr>
                <w:lang w:val="en-US"/>
              </w:rPr>
              <w:t>%</w:t>
            </w:r>
          </w:p>
          <w:p w:rsidR="003421BA" w:rsidRPr="00607627" w:rsidRDefault="00457470" w:rsidP="003421BA">
            <w:pPr>
              <w:spacing w:after="40" w:line="360" w:lineRule="auto"/>
              <w:jc w:val="both"/>
              <w:rPr>
                <w:lang w:val="en-US"/>
              </w:rPr>
            </w:pPr>
            <w:r w:rsidRPr="00607627">
              <w:rPr>
                <w:lang w:val="en-US"/>
              </w:rPr>
              <w:t xml:space="preserve">  1</w:t>
            </w:r>
            <w:r w:rsidR="00FC108A">
              <w:rPr>
                <w:lang w:val="en-US"/>
              </w:rPr>
              <w:t>.</w:t>
            </w:r>
            <w:r w:rsidRPr="00607627">
              <w:rPr>
                <w:lang w:val="en-US"/>
              </w:rPr>
              <w:t>8</w:t>
            </w:r>
            <w:r w:rsidR="00E1589E" w:rsidRPr="00607627">
              <w:rPr>
                <w:lang w:val="en-US"/>
              </w:rPr>
              <w:t xml:space="preserve"> </w:t>
            </w:r>
            <w:r w:rsidR="003421BA" w:rsidRPr="00607627">
              <w:rPr>
                <w:lang w:val="en-US"/>
              </w:rPr>
              <w:t>%</w:t>
            </w:r>
          </w:p>
        </w:tc>
        <w:tc>
          <w:tcPr>
            <w:tcW w:w="2409" w:type="dxa"/>
            <w:tcBorders>
              <w:top w:val="nil"/>
            </w:tcBorders>
          </w:tcPr>
          <w:p w:rsidR="003421BA" w:rsidRPr="00607627" w:rsidRDefault="003421BA" w:rsidP="003421BA">
            <w:pPr>
              <w:spacing w:after="40" w:line="360" w:lineRule="auto"/>
              <w:jc w:val="both"/>
              <w:rPr>
                <w:lang w:val="en-US"/>
              </w:rPr>
            </w:pPr>
            <w:r w:rsidRPr="00607627">
              <w:rPr>
                <w:lang w:val="en-US"/>
              </w:rPr>
              <w:t xml:space="preserve">1. </w:t>
            </w:r>
            <w:r w:rsidR="00FC108A">
              <w:rPr>
                <w:lang w:val="en-US"/>
              </w:rPr>
              <w:t>Austria</w:t>
            </w:r>
          </w:p>
          <w:p w:rsidR="003421BA" w:rsidRPr="00607627" w:rsidRDefault="003421BA" w:rsidP="003421BA">
            <w:pPr>
              <w:spacing w:after="40" w:line="360" w:lineRule="auto"/>
              <w:jc w:val="both"/>
              <w:rPr>
                <w:lang w:val="en-US"/>
              </w:rPr>
            </w:pPr>
            <w:r w:rsidRPr="00607627">
              <w:rPr>
                <w:lang w:val="en-US"/>
              </w:rPr>
              <w:t xml:space="preserve">2. </w:t>
            </w:r>
            <w:r w:rsidR="00FC108A">
              <w:rPr>
                <w:lang w:val="en-US"/>
              </w:rPr>
              <w:t>Germany</w:t>
            </w:r>
          </w:p>
          <w:p w:rsidR="003421BA" w:rsidRPr="00607627" w:rsidRDefault="003421BA" w:rsidP="003421BA">
            <w:pPr>
              <w:spacing w:after="40" w:line="360" w:lineRule="auto"/>
              <w:jc w:val="both"/>
              <w:rPr>
                <w:lang w:val="en-US"/>
              </w:rPr>
            </w:pPr>
            <w:r w:rsidRPr="00607627">
              <w:rPr>
                <w:lang w:val="en-US"/>
              </w:rPr>
              <w:t>3. USA</w:t>
            </w:r>
          </w:p>
          <w:p w:rsidR="003421BA" w:rsidRPr="00607627" w:rsidRDefault="003421BA" w:rsidP="003421BA">
            <w:pPr>
              <w:spacing w:after="40" w:line="360" w:lineRule="auto"/>
              <w:jc w:val="both"/>
              <w:rPr>
                <w:lang w:val="en-US"/>
              </w:rPr>
            </w:pPr>
            <w:r w:rsidRPr="00607627">
              <w:rPr>
                <w:lang w:val="en-US"/>
              </w:rPr>
              <w:t xml:space="preserve">4. China </w:t>
            </w:r>
          </w:p>
          <w:p w:rsidR="003421BA" w:rsidRPr="00607627" w:rsidRDefault="003421BA" w:rsidP="003421BA">
            <w:pPr>
              <w:spacing w:after="40" w:line="360" w:lineRule="auto"/>
              <w:jc w:val="both"/>
              <w:rPr>
                <w:lang w:val="en-US"/>
              </w:rPr>
            </w:pPr>
            <w:r w:rsidRPr="00607627">
              <w:rPr>
                <w:lang w:val="en-US"/>
              </w:rPr>
              <w:t xml:space="preserve">5. </w:t>
            </w:r>
            <w:r w:rsidR="00FC108A">
              <w:rPr>
                <w:lang w:val="en-US"/>
              </w:rPr>
              <w:t>Great Britain</w:t>
            </w:r>
          </w:p>
          <w:p w:rsidR="003421BA" w:rsidRPr="00607627" w:rsidRDefault="003421BA" w:rsidP="003421BA">
            <w:pPr>
              <w:spacing w:after="40" w:line="360" w:lineRule="auto"/>
              <w:jc w:val="both"/>
              <w:rPr>
                <w:lang w:val="en-US"/>
              </w:rPr>
            </w:pPr>
            <w:r w:rsidRPr="00607627">
              <w:rPr>
                <w:lang w:val="en-US"/>
              </w:rPr>
              <w:t xml:space="preserve">6. </w:t>
            </w:r>
            <w:r w:rsidR="00FC108A">
              <w:rPr>
                <w:lang w:val="en-US"/>
              </w:rPr>
              <w:t>Italy</w:t>
            </w:r>
          </w:p>
          <w:p w:rsidR="003421BA" w:rsidRPr="00607627" w:rsidRDefault="003421BA" w:rsidP="003421BA">
            <w:pPr>
              <w:spacing w:after="40" w:line="360" w:lineRule="auto"/>
              <w:jc w:val="both"/>
              <w:rPr>
                <w:highlight w:val="yellow"/>
                <w:lang w:val="en-US"/>
              </w:rPr>
            </w:pPr>
            <w:r w:rsidRPr="00607627">
              <w:rPr>
                <w:lang w:val="en-US"/>
              </w:rPr>
              <w:t xml:space="preserve">7. </w:t>
            </w:r>
            <w:r w:rsidR="00FC108A">
              <w:rPr>
                <w:lang w:val="en-US"/>
              </w:rPr>
              <w:t>South Korea</w:t>
            </w:r>
          </w:p>
          <w:p w:rsidR="003421BA" w:rsidRPr="00607627" w:rsidRDefault="003421BA" w:rsidP="003421BA">
            <w:pPr>
              <w:spacing w:after="40" w:line="360" w:lineRule="auto"/>
              <w:jc w:val="both"/>
              <w:rPr>
                <w:lang w:val="en-US"/>
              </w:rPr>
            </w:pPr>
            <w:r w:rsidRPr="00607627">
              <w:rPr>
                <w:lang w:val="en-US"/>
              </w:rPr>
              <w:t xml:space="preserve">8. </w:t>
            </w:r>
            <w:r w:rsidR="00FC108A">
              <w:rPr>
                <w:lang w:val="en-US"/>
              </w:rPr>
              <w:t>Switzerland</w:t>
            </w:r>
          </w:p>
          <w:p w:rsidR="003421BA" w:rsidRPr="00607627" w:rsidRDefault="003421BA" w:rsidP="003421BA">
            <w:pPr>
              <w:spacing w:after="40" w:line="360" w:lineRule="auto"/>
              <w:jc w:val="both"/>
              <w:rPr>
                <w:lang w:val="en-US"/>
              </w:rPr>
            </w:pPr>
            <w:r w:rsidRPr="00607627">
              <w:rPr>
                <w:lang w:val="en-US"/>
              </w:rPr>
              <w:t xml:space="preserve">9. </w:t>
            </w:r>
            <w:r w:rsidR="00FC108A">
              <w:rPr>
                <w:lang w:val="en-US"/>
              </w:rPr>
              <w:t>Australia</w:t>
            </w:r>
          </w:p>
          <w:p w:rsidR="003421BA" w:rsidRPr="00607627" w:rsidRDefault="003421BA" w:rsidP="003421BA">
            <w:pPr>
              <w:spacing w:after="40" w:line="360" w:lineRule="auto"/>
              <w:jc w:val="both"/>
              <w:rPr>
                <w:highlight w:val="yellow"/>
                <w:lang w:val="en-US"/>
              </w:rPr>
            </w:pPr>
            <w:r w:rsidRPr="00607627">
              <w:rPr>
                <w:lang w:val="en-US"/>
              </w:rPr>
              <w:t>10. Taiwan</w:t>
            </w:r>
          </w:p>
        </w:tc>
        <w:tc>
          <w:tcPr>
            <w:tcW w:w="1276" w:type="dxa"/>
            <w:tcBorders>
              <w:top w:val="nil"/>
            </w:tcBorders>
          </w:tcPr>
          <w:p w:rsidR="003421BA" w:rsidRPr="00607627" w:rsidRDefault="003421BA" w:rsidP="003421BA">
            <w:pPr>
              <w:spacing w:after="40" w:line="360" w:lineRule="auto"/>
              <w:jc w:val="both"/>
              <w:rPr>
                <w:lang w:val="en-US"/>
              </w:rPr>
            </w:pPr>
            <w:r w:rsidRPr="00607627">
              <w:rPr>
                <w:lang w:val="en-US"/>
              </w:rPr>
              <w:t>715</w:t>
            </w:r>
            <w:r w:rsidR="00FC108A">
              <w:rPr>
                <w:lang w:val="en-US"/>
              </w:rPr>
              <w:t>,</w:t>
            </w:r>
            <w:r w:rsidRPr="00607627">
              <w:rPr>
                <w:lang w:val="en-US"/>
              </w:rPr>
              <w:t>228</w:t>
            </w:r>
          </w:p>
          <w:p w:rsidR="003421BA" w:rsidRPr="00607627" w:rsidRDefault="003421BA" w:rsidP="003421BA">
            <w:pPr>
              <w:spacing w:after="40" w:line="360" w:lineRule="auto"/>
              <w:jc w:val="both"/>
              <w:rPr>
                <w:lang w:val="en-US"/>
              </w:rPr>
            </w:pPr>
            <w:r w:rsidRPr="00607627">
              <w:rPr>
                <w:lang w:val="en-US"/>
              </w:rPr>
              <w:t>604</w:t>
            </w:r>
            <w:r w:rsidR="00FC108A">
              <w:rPr>
                <w:lang w:val="en-US"/>
              </w:rPr>
              <w:t>,</w:t>
            </w:r>
            <w:r w:rsidRPr="00607627">
              <w:rPr>
                <w:lang w:val="en-US"/>
              </w:rPr>
              <w:t>640</w:t>
            </w:r>
          </w:p>
          <w:p w:rsidR="003421BA" w:rsidRPr="00607627" w:rsidRDefault="003421BA" w:rsidP="003421BA">
            <w:pPr>
              <w:spacing w:after="40" w:line="360" w:lineRule="auto"/>
              <w:jc w:val="both"/>
              <w:rPr>
                <w:lang w:val="en-US"/>
              </w:rPr>
            </w:pPr>
            <w:r w:rsidRPr="00607627">
              <w:rPr>
                <w:lang w:val="en-US"/>
              </w:rPr>
              <w:t>252</w:t>
            </w:r>
            <w:r w:rsidR="00FC108A">
              <w:rPr>
                <w:lang w:val="en-US"/>
              </w:rPr>
              <w:t>,</w:t>
            </w:r>
            <w:r w:rsidRPr="00607627">
              <w:rPr>
                <w:lang w:val="en-US"/>
              </w:rPr>
              <w:t>195</w:t>
            </w:r>
          </w:p>
          <w:p w:rsidR="003421BA" w:rsidRPr="00607627" w:rsidRDefault="003421BA" w:rsidP="003421BA">
            <w:pPr>
              <w:spacing w:after="40" w:line="360" w:lineRule="auto"/>
              <w:jc w:val="both"/>
              <w:rPr>
                <w:lang w:val="en-US"/>
              </w:rPr>
            </w:pPr>
            <w:r w:rsidRPr="00607627">
              <w:rPr>
                <w:lang w:val="en-US"/>
              </w:rPr>
              <w:t>127</w:t>
            </w:r>
            <w:r w:rsidR="00FC108A">
              <w:rPr>
                <w:lang w:val="en-US"/>
              </w:rPr>
              <w:t>,</w:t>
            </w:r>
            <w:r w:rsidRPr="00607627">
              <w:rPr>
                <w:lang w:val="en-US"/>
              </w:rPr>
              <w:t>871</w:t>
            </w:r>
          </w:p>
          <w:p w:rsidR="003421BA" w:rsidRPr="00607627" w:rsidRDefault="003421BA" w:rsidP="003421BA">
            <w:pPr>
              <w:spacing w:after="40" w:line="360" w:lineRule="auto"/>
              <w:jc w:val="both"/>
              <w:rPr>
                <w:lang w:val="en-US"/>
              </w:rPr>
            </w:pPr>
            <w:r w:rsidRPr="00607627">
              <w:rPr>
                <w:lang w:val="en-US"/>
              </w:rPr>
              <w:t>123</w:t>
            </w:r>
            <w:r w:rsidR="00FC108A">
              <w:rPr>
                <w:lang w:val="en-US"/>
              </w:rPr>
              <w:t>,</w:t>
            </w:r>
            <w:r w:rsidRPr="00607627">
              <w:rPr>
                <w:lang w:val="en-US"/>
              </w:rPr>
              <w:t>612</w:t>
            </w:r>
          </w:p>
          <w:p w:rsidR="003421BA" w:rsidRPr="00607627" w:rsidRDefault="003421BA" w:rsidP="003421BA">
            <w:pPr>
              <w:spacing w:after="40" w:line="360" w:lineRule="auto"/>
              <w:jc w:val="both"/>
              <w:rPr>
                <w:lang w:val="en-US"/>
              </w:rPr>
            </w:pPr>
            <w:r w:rsidRPr="00607627">
              <w:rPr>
                <w:lang w:val="en-US"/>
              </w:rPr>
              <w:t>123</w:t>
            </w:r>
            <w:r w:rsidR="00FC108A">
              <w:rPr>
                <w:lang w:val="en-US"/>
              </w:rPr>
              <w:t>,</w:t>
            </w:r>
            <w:r w:rsidRPr="00607627">
              <w:rPr>
                <w:lang w:val="en-US"/>
              </w:rPr>
              <w:t>245</w:t>
            </w:r>
          </w:p>
          <w:p w:rsidR="003421BA" w:rsidRPr="00607627" w:rsidRDefault="003421BA" w:rsidP="003421BA">
            <w:pPr>
              <w:spacing w:after="40" w:line="360" w:lineRule="auto"/>
              <w:jc w:val="both"/>
              <w:rPr>
                <w:highlight w:val="yellow"/>
                <w:lang w:val="en-US"/>
              </w:rPr>
            </w:pPr>
            <w:r w:rsidRPr="00607627">
              <w:rPr>
                <w:lang w:val="en-US"/>
              </w:rPr>
              <w:t xml:space="preserve">  77</w:t>
            </w:r>
            <w:r w:rsidR="00FC108A">
              <w:rPr>
                <w:lang w:val="en-US"/>
              </w:rPr>
              <w:t>,</w:t>
            </w:r>
            <w:r w:rsidRPr="00607627">
              <w:rPr>
                <w:lang w:val="en-US"/>
              </w:rPr>
              <w:t>417</w:t>
            </w:r>
          </w:p>
          <w:p w:rsidR="003421BA" w:rsidRPr="00607627" w:rsidRDefault="003421BA" w:rsidP="003421BA">
            <w:pPr>
              <w:spacing w:after="40" w:line="360" w:lineRule="auto"/>
              <w:jc w:val="both"/>
              <w:rPr>
                <w:lang w:val="en-US"/>
              </w:rPr>
            </w:pPr>
            <w:r w:rsidRPr="00607627">
              <w:rPr>
                <w:lang w:val="en-US"/>
              </w:rPr>
              <w:t xml:space="preserve">  76</w:t>
            </w:r>
            <w:r w:rsidR="00FC108A">
              <w:rPr>
                <w:lang w:val="en-US"/>
              </w:rPr>
              <w:t>,</w:t>
            </w:r>
            <w:r w:rsidRPr="00607627">
              <w:rPr>
                <w:lang w:val="en-US"/>
              </w:rPr>
              <w:t>030</w:t>
            </w:r>
          </w:p>
          <w:p w:rsidR="003421BA" w:rsidRPr="00607627" w:rsidRDefault="003421BA" w:rsidP="003421BA">
            <w:pPr>
              <w:spacing w:after="40" w:line="360" w:lineRule="auto"/>
              <w:jc w:val="both"/>
              <w:rPr>
                <w:lang w:val="en-US"/>
              </w:rPr>
            </w:pPr>
            <w:r w:rsidRPr="00607627">
              <w:rPr>
                <w:lang w:val="en-US"/>
              </w:rPr>
              <w:t xml:space="preserve">  53</w:t>
            </w:r>
            <w:r w:rsidR="00FC108A">
              <w:rPr>
                <w:lang w:val="en-US"/>
              </w:rPr>
              <w:t>,</w:t>
            </w:r>
            <w:r w:rsidRPr="00607627">
              <w:rPr>
                <w:lang w:val="en-US"/>
              </w:rPr>
              <w:t>362</w:t>
            </w:r>
          </w:p>
          <w:p w:rsidR="003421BA" w:rsidRPr="00607627" w:rsidRDefault="003421BA" w:rsidP="003421BA">
            <w:pPr>
              <w:spacing w:after="40" w:line="360" w:lineRule="auto"/>
              <w:jc w:val="both"/>
              <w:rPr>
                <w:highlight w:val="yellow"/>
                <w:lang w:val="en-US"/>
              </w:rPr>
            </w:pPr>
            <w:r w:rsidRPr="00607627">
              <w:rPr>
                <w:lang w:val="en-US"/>
              </w:rPr>
              <w:t xml:space="preserve">  49</w:t>
            </w:r>
            <w:r w:rsidR="00FC108A">
              <w:rPr>
                <w:lang w:val="en-US"/>
              </w:rPr>
              <w:t>,</w:t>
            </w:r>
            <w:r w:rsidRPr="00607627">
              <w:rPr>
                <w:lang w:val="en-US"/>
              </w:rPr>
              <w:t>557</w:t>
            </w:r>
          </w:p>
        </w:tc>
        <w:tc>
          <w:tcPr>
            <w:tcW w:w="960" w:type="dxa"/>
            <w:tcBorders>
              <w:top w:val="nil"/>
            </w:tcBorders>
          </w:tcPr>
          <w:p w:rsidR="003421BA" w:rsidRPr="00607627" w:rsidRDefault="003421BA" w:rsidP="003421BA">
            <w:pPr>
              <w:spacing w:after="40" w:line="360" w:lineRule="auto"/>
              <w:jc w:val="both"/>
              <w:rPr>
                <w:lang w:val="en-US"/>
              </w:rPr>
            </w:pPr>
            <w:r w:rsidRPr="00607627">
              <w:rPr>
                <w:lang w:val="en-US"/>
              </w:rPr>
              <w:t>23</w:t>
            </w:r>
            <w:r w:rsidR="00FC108A">
              <w:rPr>
                <w:lang w:val="en-US"/>
              </w:rPr>
              <w:t>.</w:t>
            </w:r>
            <w:r w:rsidRPr="00607627">
              <w:rPr>
                <w:lang w:val="en-US"/>
              </w:rPr>
              <w:t>5</w:t>
            </w:r>
            <w:r w:rsidR="00E1589E" w:rsidRPr="00607627">
              <w:rPr>
                <w:lang w:val="en-US"/>
              </w:rPr>
              <w:t xml:space="preserve"> </w:t>
            </w:r>
            <w:r w:rsidRPr="00607627">
              <w:rPr>
                <w:lang w:val="en-US"/>
              </w:rPr>
              <w:t>%</w:t>
            </w:r>
          </w:p>
          <w:p w:rsidR="003421BA" w:rsidRPr="00607627" w:rsidRDefault="003421BA" w:rsidP="003421BA">
            <w:pPr>
              <w:spacing w:after="40" w:line="360" w:lineRule="auto"/>
              <w:jc w:val="both"/>
              <w:rPr>
                <w:lang w:val="en-US"/>
              </w:rPr>
            </w:pPr>
            <w:r w:rsidRPr="00607627">
              <w:rPr>
                <w:lang w:val="en-US"/>
              </w:rPr>
              <w:t>19</w:t>
            </w:r>
            <w:r w:rsidR="00FC108A">
              <w:rPr>
                <w:lang w:val="en-US"/>
              </w:rPr>
              <w:t>.</w:t>
            </w:r>
            <w:r w:rsidRPr="00607627">
              <w:rPr>
                <w:lang w:val="en-US"/>
              </w:rPr>
              <w:t>9</w:t>
            </w:r>
            <w:r w:rsidR="00E1589E" w:rsidRPr="00607627">
              <w:rPr>
                <w:lang w:val="en-US"/>
              </w:rPr>
              <w:t xml:space="preserve"> </w:t>
            </w:r>
            <w:r w:rsidRPr="00607627">
              <w:rPr>
                <w:lang w:val="en-US"/>
              </w:rPr>
              <w:t>%</w:t>
            </w:r>
          </w:p>
          <w:p w:rsidR="003421BA" w:rsidRPr="00607627" w:rsidRDefault="003421BA" w:rsidP="003421BA">
            <w:pPr>
              <w:spacing w:after="40" w:line="360" w:lineRule="auto"/>
              <w:jc w:val="both"/>
              <w:rPr>
                <w:lang w:val="en-US"/>
              </w:rPr>
            </w:pPr>
            <w:r w:rsidRPr="00607627">
              <w:rPr>
                <w:lang w:val="en-US"/>
              </w:rPr>
              <w:t xml:space="preserve">  8</w:t>
            </w:r>
            <w:r w:rsidR="00FC108A">
              <w:rPr>
                <w:lang w:val="en-US"/>
              </w:rPr>
              <w:t>.</w:t>
            </w:r>
            <w:r w:rsidRPr="00607627">
              <w:rPr>
                <w:lang w:val="en-US"/>
              </w:rPr>
              <w:t>3</w:t>
            </w:r>
            <w:r w:rsidR="00E1589E" w:rsidRPr="00607627">
              <w:rPr>
                <w:lang w:val="en-US"/>
              </w:rPr>
              <w:t xml:space="preserve"> </w:t>
            </w:r>
            <w:r w:rsidRPr="00607627">
              <w:rPr>
                <w:lang w:val="en-US"/>
              </w:rPr>
              <w:t>%</w:t>
            </w:r>
          </w:p>
          <w:p w:rsidR="003421BA" w:rsidRPr="00607627" w:rsidRDefault="003421BA" w:rsidP="003421BA">
            <w:pPr>
              <w:spacing w:after="40" w:line="360" w:lineRule="auto"/>
              <w:jc w:val="both"/>
              <w:rPr>
                <w:lang w:val="en-US"/>
              </w:rPr>
            </w:pPr>
            <w:r w:rsidRPr="00607627">
              <w:rPr>
                <w:lang w:val="en-US"/>
              </w:rPr>
              <w:t xml:space="preserve">  4</w:t>
            </w:r>
            <w:r w:rsidR="00FC108A">
              <w:rPr>
                <w:lang w:val="en-US"/>
              </w:rPr>
              <w:t>.</w:t>
            </w:r>
            <w:r w:rsidRPr="00607627">
              <w:rPr>
                <w:lang w:val="en-US"/>
              </w:rPr>
              <w:t>2</w:t>
            </w:r>
            <w:r w:rsidR="00E1589E" w:rsidRPr="00607627">
              <w:rPr>
                <w:lang w:val="en-US"/>
              </w:rPr>
              <w:t xml:space="preserve"> </w:t>
            </w:r>
            <w:r w:rsidRPr="00607627">
              <w:rPr>
                <w:lang w:val="en-US"/>
              </w:rPr>
              <w:t>%</w:t>
            </w:r>
          </w:p>
          <w:p w:rsidR="003421BA" w:rsidRPr="00607627" w:rsidRDefault="003421BA" w:rsidP="003421BA">
            <w:pPr>
              <w:spacing w:after="40" w:line="360" w:lineRule="auto"/>
              <w:jc w:val="both"/>
              <w:rPr>
                <w:lang w:val="en-US"/>
              </w:rPr>
            </w:pPr>
            <w:r w:rsidRPr="00607627">
              <w:rPr>
                <w:lang w:val="en-US"/>
              </w:rPr>
              <w:t xml:space="preserve">  4</w:t>
            </w:r>
            <w:r w:rsidR="00FC108A">
              <w:rPr>
                <w:lang w:val="en-US"/>
              </w:rPr>
              <w:t>.</w:t>
            </w:r>
            <w:r w:rsidRPr="00607627">
              <w:rPr>
                <w:lang w:val="en-US"/>
              </w:rPr>
              <w:t>1</w:t>
            </w:r>
            <w:r w:rsidR="00E1589E" w:rsidRPr="00607627">
              <w:rPr>
                <w:lang w:val="en-US"/>
              </w:rPr>
              <w:t xml:space="preserve"> </w:t>
            </w:r>
            <w:r w:rsidRPr="00607627">
              <w:rPr>
                <w:lang w:val="en-US"/>
              </w:rPr>
              <w:t>%</w:t>
            </w:r>
          </w:p>
          <w:p w:rsidR="003421BA" w:rsidRPr="00607627" w:rsidRDefault="003421BA" w:rsidP="003421BA">
            <w:pPr>
              <w:spacing w:after="40" w:line="360" w:lineRule="auto"/>
              <w:jc w:val="both"/>
              <w:rPr>
                <w:lang w:val="en-US"/>
              </w:rPr>
            </w:pPr>
            <w:r w:rsidRPr="00607627">
              <w:rPr>
                <w:lang w:val="en-US"/>
              </w:rPr>
              <w:t xml:space="preserve">  4</w:t>
            </w:r>
            <w:r w:rsidR="00FC108A">
              <w:rPr>
                <w:lang w:val="en-US"/>
              </w:rPr>
              <w:t>.</w:t>
            </w:r>
            <w:r w:rsidRPr="00607627">
              <w:rPr>
                <w:lang w:val="en-US"/>
              </w:rPr>
              <w:t>1</w:t>
            </w:r>
            <w:r w:rsidR="00E1589E" w:rsidRPr="00607627">
              <w:rPr>
                <w:lang w:val="en-US"/>
              </w:rPr>
              <w:t xml:space="preserve"> </w:t>
            </w:r>
            <w:r w:rsidRPr="00607627">
              <w:rPr>
                <w:lang w:val="en-US"/>
              </w:rPr>
              <w:t>%</w:t>
            </w:r>
          </w:p>
          <w:p w:rsidR="003421BA" w:rsidRPr="00607627" w:rsidRDefault="003421BA" w:rsidP="003421BA">
            <w:pPr>
              <w:spacing w:after="40" w:line="360" w:lineRule="auto"/>
              <w:jc w:val="both"/>
              <w:rPr>
                <w:lang w:val="en-US"/>
              </w:rPr>
            </w:pPr>
            <w:r w:rsidRPr="00607627">
              <w:rPr>
                <w:lang w:val="en-US"/>
              </w:rPr>
              <w:t xml:space="preserve">  2</w:t>
            </w:r>
            <w:r w:rsidR="00FC108A">
              <w:rPr>
                <w:lang w:val="en-US"/>
              </w:rPr>
              <w:t>.</w:t>
            </w:r>
            <w:r w:rsidRPr="00607627">
              <w:rPr>
                <w:lang w:val="en-US"/>
              </w:rPr>
              <w:t>5</w:t>
            </w:r>
            <w:r w:rsidR="00E1589E" w:rsidRPr="00607627">
              <w:rPr>
                <w:lang w:val="en-US"/>
              </w:rPr>
              <w:t xml:space="preserve"> </w:t>
            </w:r>
            <w:r w:rsidRPr="00607627">
              <w:rPr>
                <w:lang w:val="en-US"/>
              </w:rPr>
              <w:t>%</w:t>
            </w:r>
          </w:p>
          <w:p w:rsidR="003421BA" w:rsidRPr="00607627" w:rsidRDefault="003421BA" w:rsidP="003421BA">
            <w:pPr>
              <w:spacing w:after="40" w:line="360" w:lineRule="auto"/>
              <w:jc w:val="both"/>
              <w:rPr>
                <w:lang w:val="en-US"/>
              </w:rPr>
            </w:pPr>
            <w:r w:rsidRPr="00607627">
              <w:rPr>
                <w:lang w:val="en-US"/>
              </w:rPr>
              <w:t xml:space="preserve">  2</w:t>
            </w:r>
            <w:r w:rsidR="00FC108A">
              <w:rPr>
                <w:lang w:val="en-US"/>
              </w:rPr>
              <w:t>.</w:t>
            </w:r>
            <w:r w:rsidRPr="00607627">
              <w:rPr>
                <w:lang w:val="en-US"/>
              </w:rPr>
              <w:t>5</w:t>
            </w:r>
            <w:r w:rsidR="00E1589E" w:rsidRPr="00607627">
              <w:rPr>
                <w:lang w:val="en-US"/>
              </w:rPr>
              <w:t xml:space="preserve"> </w:t>
            </w:r>
            <w:r w:rsidRPr="00607627">
              <w:rPr>
                <w:lang w:val="en-US"/>
              </w:rPr>
              <w:t>%</w:t>
            </w:r>
          </w:p>
          <w:p w:rsidR="003421BA" w:rsidRPr="00607627" w:rsidRDefault="003421BA" w:rsidP="003421BA">
            <w:pPr>
              <w:spacing w:after="40" w:line="360" w:lineRule="auto"/>
              <w:jc w:val="both"/>
              <w:rPr>
                <w:lang w:val="en-US"/>
              </w:rPr>
            </w:pPr>
            <w:r w:rsidRPr="00607627">
              <w:rPr>
                <w:lang w:val="en-US"/>
              </w:rPr>
              <w:t xml:space="preserve">  1</w:t>
            </w:r>
            <w:r w:rsidR="00FC108A">
              <w:rPr>
                <w:lang w:val="en-US"/>
              </w:rPr>
              <w:t>.</w:t>
            </w:r>
            <w:r w:rsidRPr="00607627">
              <w:rPr>
                <w:lang w:val="en-US"/>
              </w:rPr>
              <w:t>8</w:t>
            </w:r>
            <w:r w:rsidR="00E1589E" w:rsidRPr="00607627">
              <w:rPr>
                <w:lang w:val="en-US"/>
              </w:rPr>
              <w:t xml:space="preserve"> </w:t>
            </w:r>
            <w:r w:rsidRPr="00607627">
              <w:rPr>
                <w:lang w:val="en-US"/>
              </w:rPr>
              <w:t>%</w:t>
            </w:r>
          </w:p>
          <w:p w:rsidR="003421BA" w:rsidRPr="00607627" w:rsidRDefault="003421BA" w:rsidP="003421BA">
            <w:pPr>
              <w:spacing w:after="40" w:line="360" w:lineRule="auto"/>
              <w:jc w:val="both"/>
              <w:rPr>
                <w:highlight w:val="yellow"/>
                <w:lang w:val="en-US"/>
              </w:rPr>
            </w:pPr>
            <w:r w:rsidRPr="00607627">
              <w:rPr>
                <w:lang w:val="en-US"/>
              </w:rPr>
              <w:t xml:space="preserve">  1</w:t>
            </w:r>
            <w:r w:rsidR="00FC108A">
              <w:rPr>
                <w:lang w:val="en-US"/>
              </w:rPr>
              <w:t>.</w:t>
            </w:r>
            <w:r w:rsidRPr="00607627">
              <w:rPr>
                <w:lang w:val="en-US"/>
              </w:rPr>
              <w:t>6</w:t>
            </w:r>
            <w:r w:rsidR="00E1589E" w:rsidRPr="00607627">
              <w:rPr>
                <w:lang w:val="en-US"/>
              </w:rPr>
              <w:t xml:space="preserve"> </w:t>
            </w:r>
            <w:r w:rsidRPr="00607627">
              <w:rPr>
                <w:lang w:val="en-US"/>
              </w:rPr>
              <w:t>%</w:t>
            </w:r>
          </w:p>
        </w:tc>
      </w:tr>
    </w:tbl>
    <w:p w:rsidR="000719FD" w:rsidRPr="00607627" w:rsidRDefault="000719FD" w:rsidP="003A1318">
      <w:pPr>
        <w:jc w:val="both"/>
        <w:outlineLvl w:val="0"/>
        <w:rPr>
          <w:b/>
          <w:lang w:val="en-US"/>
        </w:rPr>
      </w:pPr>
    </w:p>
    <w:p w:rsidR="000719FD" w:rsidRPr="00607627" w:rsidRDefault="00FC108A" w:rsidP="003A1318">
      <w:pPr>
        <w:jc w:val="both"/>
        <w:outlineLvl w:val="0"/>
        <w:rPr>
          <w:b/>
          <w:lang w:val="en-US"/>
        </w:rPr>
      </w:pPr>
      <w:r>
        <w:rPr>
          <w:b/>
          <w:lang w:val="en-US"/>
        </w:rPr>
        <w:t>Accommodation Structure</w:t>
      </w:r>
    </w:p>
    <w:p w:rsidR="000719FD" w:rsidRPr="00607627" w:rsidRDefault="00FC108A" w:rsidP="003A1318">
      <w:pPr>
        <w:jc w:val="both"/>
        <w:outlineLvl w:val="0"/>
        <w:rPr>
          <w:lang w:val="en-US"/>
        </w:rPr>
      </w:pPr>
      <w:r>
        <w:rPr>
          <w:lang w:val="en-US"/>
        </w:rPr>
        <w:t xml:space="preserve">As of 31 December 2018, provincial capital Salzburg had exactly </w:t>
      </w:r>
      <w:r w:rsidR="004127AB" w:rsidRPr="00607627">
        <w:rPr>
          <w:lang w:val="en-US"/>
        </w:rPr>
        <w:t>121 (201</w:t>
      </w:r>
      <w:r w:rsidR="00C602D8" w:rsidRPr="00607627">
        <w:rPr>
          <w:lang w:val="en-US"/>
        </w:rPr>
        <w:t>7</w:t>
      </w:r>
      <w:r w:rsidR="004127AB" w:rsidRPr="00607627">
        <w:rPr>
          <w:lang w:val="en-US"/>
        </w:rPr>
        <w:t>: 121</w:t>
      </w:r>
      <w:r w:rsidR="009B05CC" w:rsidRPr="00607627">
        <w:rPr>
          <w:lang w:val="en-US"/>
        </w:rPr>
        <w:t xml:space="preserve">) </w:t>
      </w:r>
      <w:r>
        <w:rPr>
          <w:lang w:val="en-US"/>
        </w:rPr>
        <w:t xml:space="preserve">commercial lodging establishments </w:t>
      </w:r>
      <w:r w:rsidR="009B05CC" w:rsidRPr="00607627">
        <w:rPr>
          <w:lang w:val="en-US"/>
        </w:rPr>
        <w:t>(</w:t>
      </w:r>
      <w:r>
        <w:rPr>
          <w:lang w:val="en-US"/>
        </w:rPr>
        <w:t xml:space="preserve">incl. hotels in various categories, inns and guesthouses). These establishments offer a total of 12,451 beds </w:t>
      </w:r>
      <w:r w:rsidR="000719FD" w:rsidRPr="00607627">
        <w:rPr>
          <w:lang w:val="en-US"/>
        </w:rPr>
        <w:t>(201</w:t>
      </w:r>
      <w:r w:rsidR="00C602D8" w:rsidRPr="00607627">
        <w:rPr>
          <w:lang w:val="en-US"/>
        </w:rPr>
        <w:t>7</w:t>
      </w:r>
      <w:r w:rsidR="000719FD" w:rsidRPr="00607627">
        <w:rPr>
          <w:lang w:val="en-US"/>
        </w:rPr>
        <w:t xml:space="preserve">: </w:t>
      </w:r>
      <w:r>
        <w:rPr>
          <w:lang w:val="en-US"/>
        </w:rPr>
        <w:t>12,193</w:t>
      </w:r>
      <w:r w:rsidR="000719FD" w:rsidRPr="00607627">
        <w:rPr>
          <w:lang w:val="en-US"/>
        </w:rPr>
        <w:t>)</w:t>
      </w:r>
      <w:r w:rsidR="000818DC">
        <w:rPr>
          <w:lang w:val="en-US"/>
        </w:rPr>
        <w:t xml:space="preserve">, equating </w:t>
      </w:r>
      <w:r>
        <w:rPr>
          <w:lang w:val="en-US"/>
        </w:rPr>
        <w:t xml:space="preserve">to an average of 103 beds </w:t>
      </w:r>
      <w:r w:rsidR="00D14A77">
        <w:rPr>
          <w:lang w:val="en-US"/>
        </w:rPr>
        <w:t>per establishment. This number has increased steadily in recent years; the average per hotel just 10 years ago (2008) was 81 beds</w:t>
      </w:r>
      <w:r w:rsidR="00D458CC" w:rsidRPr="00607627">
        <w:rPr>
          <w:lang w:val="en-US"/>
        </w:rPr>
        <w:t>.</w:t>
      </w:r>
    </w:p>
    <w:p w:rsidR="000719FD" w:rsidRPr="00607627" w:rsidRDefault="000719FD" w:rsidP="003A1318">
      <w:pPr>
        <w:jc w:val="both"/>
        <w:outlineLvl w:val="0"/>
        <w:rPr>
          <w:highlight w:val="yellow"/>
          <w:lang w:val="en-US"/>
        </w:rPr>
      </w:pPr>
    </w:p>
    <w:p w:rsidR="000719FD" w:rsidRPr="00607627" w:rsidRDefault="003E3ADB" w:rsidP="003A1318">
      <w:pPr>
        <w:jc w:val="both"/>
        <w:outlineLvl w:val="0"/>
        <w:rPr>
          <w:lang w:val="en-US"/>
        </w:rPr>
      </w:pPr>
      <w:r>
        <w:rPr>
          <w:lang w:val="en-US"/>
        </w:rPr>
        <w:t>The figures according to quality-categorization are</w:t>
      </w:r>
      <w:r w:rsidR="0037724E" w:rsidRPr="00607627">
        <w:rPr>
          <w:lang w:val="en-US"/>
        </w:rPr>
        <w:t>: 5 (201</w:t>
      </w:r>
      <w:r w:rsidR="00C602D8" w:rsidRPr="00607627">
        <w:rPr>
          <w:lang w:val="en-US"/>
        </w:rPr>
        <w:t>7</w:t>
      </w:r>
      <w:r w:rsidR="000719FD" w:rsidRPr="00607627">
        <w:rPr>
          <w:lang w:val="en-US"/>
        </w:rPr>
        <w:t>: 6) 5-</w:t>
      </w:r>
      <w:r>
        <w:rPr>
          <w:lang w:val="en-US"/>
        </w:rPr>
        <w:t>star establishments</w:t>
      </w:r>
      <w:r w:rsidR="000719FD" w:rsidRPr="00607627">
        <w:rPr>
          <w:lang w:val="en-US"/>
        </w:rPr>
        <w:t xml:space="preserve"> </w:t>
      </w:r>
      <w:r>
        <w:rPr>
          <w:lang w:val="en-US"/>
        </w:rPr>
        <w:t>with</w:t>
      </w:r>
      <w:r w:rsidR="000719FD" w:rsidRPr="00607627">
        <w:rPr>
          <w:lang w:val="en-US"/>
        </w:rPr>
        <w:t xml:space="preserve"> </w:t>
      </w:r>
      <w:r w:rsidR="00C602D8" w:rsidRPr="00607627">
        <w:rPr>
          <w:lang w:val="en-US"/>
        </w:rPr>
        <w:t>840 (2017</w:t>
      </w:r>
      <w:r w:rsidR="000719FD" w:rsidRPr="00607627">
        <w:rPr>
          <w:lang w:val="en-US"/>
        </w:rPr>
        <w:t xml:space="preserve">: </w:t>
      </w:r>
      <w:r w:rsidR="00C602D8" w:rsidRPr="00607627">
        <w:rPr>
          <w:lang w:val="en-US"/>
        </w:rPr>
        <w:t xml:space="preserve">932) </w:t>
      </w:r>
      <w:r>
        <w:rPr>
          <w:lang w:val="en-US"/>
        </w:rPr>
        <w:t>beds</w:t>
      </w:r>
      <w:r w:rsidR="00C602D8" w:rsidRPr="00607627">
        <w:rPr>
          <w:lang w:val="en-US"/>
        </w:rPr>
        <w:t>, 48 (2017</w:t>
      </w:r>
      <w:r w:rsidR="000719FD" w:rsidRPr="00607627">
        <w:rPr>
          <w:lang w:val="en-US"/>
        </w:rPr>
        <w:t xml:space="preserve">: </w:t>
      </w:r>
      <w:r w:rsidR="00C602D8" w:rsidRPr="00607627">
        <w:rPr>
          <w:lang w:val="en-US"/>
        </w:rPr>
        <w:t>47</w:t>
      </w:r>
      <w:r w:rsidR="000719FD" w:rsidRPr="00607627">
        <w:rPr>
          <w:lang w:val="en-US"/>
        </w:rPr>
        <w:t>) 4-</w:t>
      </w:r>
      <w:r>
        <w:rPr>
          <w:lang w:val="en-US"/>
        </w:rPr>
        <w:t>star businesses with</w:t>
      </w:r>
      <w:r w:rsidR="000719FD" w:rsidRPr="00607627">
        <w:rPr>
          <w:lang w:val="en-US"/>
        </w:rPr>
        <w:t xml:space="preserve"> </w:t>
      </w:r>
      <w:r w:rsidR="00C602D8" w:rsidRPr="00607627">
        <w:rPr>
          <w:lang w:val="en-US"/>
        </w:rPr>
        <w:t>6</w:t>
      </w:r>
      <w:r>
        <w:rPr>
          <w:lang w:val="en-US"/>
        </w:rPr>
        <w:t>,</w:t>
      </w:r>
      <w:r w:rsidR="00C602D8" w:rsidRPr="00607627">
        <w:rPr>
          <w:lang w:val="en-US"/>
        </w:rPr>
        <w:t>503 (2017</w:t>
      </w:r>
      <w:r w:rsidR="000719FD" w:rsidRPr="00607627">
        <w:rPr>
          <w:lang w:val="en-US"/>
        </w:rPr>
        <w:t xml:space="preserve">: </w:t>
      </w:r>
      <w:r w:rsidR="0037724E" w:rsidRPr="00607627">
        <w:rPr>
          <w:lang w:val="en-US"/>
        </w:rPr>
        <w:t>6</w:t>
      </w:r>
      <w:r>
        <w:rPr>
          <w:lang w:val="en-US"/>
        </w:rPr>
        <w:t>,</w:t>
      </w:r>
      <w:r w:rsidR="00C602D8" w:rsidRPr="00607627">
        <w:rPr>
          <w:lang w:val="en-US"/>
        </w:rPr>
        <w:t>234</w:t>
      </w:r>
      <w:r w:rsidR="000719FD" w:rsidRPr="00607627">
        <w:rPr>
          <w:lang w:val="en-US"/>
        </w:rPr>
        <w:t xml:space="preserve">) </w:t>
      </w:r>
      <w:r>
        <w:rPr>
          <w:lang w:val="en-US"/>
        </w:rPr>
        <w:t>beds</w:t>
      </w:r>
      <w:r w:rsidR="000719FD" w:rsidRPr="00607627">
        <w:rPr>
          <w:lang w:val="en-US"/>
        </w:rPr>
        <w:t>, 48 (201</w:t>
      </w:r>
      <w:r w:rsidR="00C602D8" w:rsidRPr="00607627">
        <w:rPr>
          <w:lang w:val="en-US"/>
        </w:rPr>
        <w:t>7</w:t>
      </w:r>
      <w:r w:rsidR="000719FD" w:rsidRPr="00607627">
        <w:rPr>
          <w:lang w:val="en-US"/>
        </w:rPr>
        <w:t>:</w:t>
      </w:r>
      <w:r>
        <w:rPr>
          <w:lang w:val="en-US"/>
        </w:rPr>
        <w:t xml:space="preserve"> </w:t>
      </w:r>
      <w:r w:rsidR="000719FD" w:rsidRPr="00607627">
        <w:rPr>
          <w:lang w:val="en-US"/>
        </w:rPr>
        <w:t>4</w:t>
      </w:r>
      <w:r w:rsidR="00C602D8" w:rsidRPr="00607627">
        <w:rPr>
          <w:lang w:val="en-US"/>
        </w:rPr>
        <w:t>8</w:t>
      </w:r>
      <w:r w:rsidR="000719FD" w:rsidRPr="00607627">
        <w:rPr>
          <w:lang w:val="en-US"/>
        </w:rPr>
        <w:t>) 3-</w:t>
      </w:r>
      <w:r>
        <w:rPr>
          <w:lang w:val="en-US"/>
        </w:rPr>
        <w:t>star businesses with</w:t>
      </w:r>
      <w:r w:rsidR="000719FD" w:rsidRPr="00607627">
        <w:rPr>
          <w:lang w:val="en-US"/>
        </w:rPr>
        <w:t xml:space="preserve"> </w:t>
      </w:r>
      <w:r w:rsidR="0037724E" w:rsidRPr="00607627">
        <w:rPr>
          <w:lang w:val="en-US"/>
        </w:rPr>
        <w:t>3</w:t>
      </w:r>
      <w:r>
        <w:rPr>
          <w:lang w:val="en-US"/>
        </w:rPr>
        <w:t>,</w:t>
      </w:r>
      <w:r w:rsidR="00C602D8" w:rsidRPr="00607627">
        <w:rPr>
          <w:lang w:val="en-US"/>
        </w:rPr>
        <w:t>618 (2017</w:t>
      </w:r>
      <w:r w:rsidR="000719FD" w:rsidRPr="00607627">
        <w:rPr>
          <w:lang w:val="en-US"/>
        </w:rPr>
        <w:t xml:space="preserve">: </w:t>
      </w:r>
      <w:r w:rsidR="0037724E" w:rsidRPr="00607627">
        <w:rPr>
          <w:lang w:val="en-US"/>
        </w:rPr>
        <w:t>3</w:t>
      </w:r>
      <w:r>
        <w:rPr>
          <w:lang w:val="en-US"/>
        </w:rPr>
        <w:t>,</w:t>
      </w:r>
      <w:r w:rsidR="0037724E" w:rsidRPr="00607627">
        <w:rPr>
          <w:lang w:val="en-US"/>
        </w:rPr>
        <w:t>5</w:t>
      </w:r>
      <w:r w:rsidR="00CB56C6" w:rsidRPr="00607627">
        <w:rPr>
          <w:lang w:val="en-US"/>
        </w:rPr>
        <w:t>6</w:t>
      </w:r>
      <w:r w:rsidR="0037724E" w:rsidRPr="00607627">
        <w:rPr>
          <w:lang w:val="en-US"/>
        </w:rPr>
        <w:t>5</w:t>
      </w:r>
      <w:r w:rsidR="000719FD" w:rsidRPr="00607627">
        <w:rPr>
          <w:lang w:val="en-US"/>
        </w:rPr>
        <w:t xml:space="preserve">) </w:t>
      </w:r>
      <w:r>
        <w:rPr>
          <w:lang w:val="en-US"/>
        </w:rPr>
        <w:t>beds and</w:t>
      </w:r>
      <w:r w:rsidR="000719FD" w:rsidRPr="00607627">
        <w:rPr>
          <w:lang w:val="en-US"/>
        </w:rPr>
        <w:t xml:space="preserve"> </w:t>
      </w:r>
      <w:r w:rsidR="00CB56C6" w:rsidRPr="00607627">
        <w:rPr>
          <w:lang w:val="en-US"/>
        </w:rPr>
        <w:t>18 (2017</w:t>
      </w:r>
      <w:r w:rsidR="0037724E" w:rsidRPr="00607627">
        <w:rPr>
          <w:lang w:val="en-US"/>
        </w:rPr>
        <w:t xml:space="preserve">: </w:t>
      </w:r>
      <w:r w:rsidR="00CB56C6" w:rsidRPr="00607627">
        <w:rPr>
          <w:lang w:val="en-US"/>
        </w:rPr>
        <w:t>19</w:t>
      </w:r>
      <w:r w:rsidR="000719FD" w:rsidRPr="00607627">
        <w:rPr>
          <w:lang w:val="en-US"/>
        </w:rPr>
        <w:t>) 2-</w:t>
      </w:r>
      <w:r>
        <w:rPr>
          <w:lang w:val="en-US"/>
        </w:rPr>
        <w:t xml:space="preserve"> or </w:t>
      </w:r>
      <w:r w:rsidR="000719FD" w:rsidRPr="00607627">
        <w:rPr>
          <w:lang w:val="en-US"/>
        </w:rPr>
        <w:t>1-</w:t>
      </w:r>
      <w:r>
        <w:rPr>
          <w:lang w:val="en-US"/>
        </w:rPr>
        <w:t xml:space="preserve">star businesses with </w:t>
      </w:r>
      <w:r w:rsidR="0037724E" w:rsidRPr="00607627">
        <w:rPr>
          <w:lang w:val="en-US"/>
        </w:rPr>
        <w:t>1</w:t>
      </w:r>
      <w:r>
        <w:rPr>
          <w:lang w:val="en-US"/>
        </w:rPr>
        <w:t>,</w:t>
      </w:r>
      <w:r w:rsidR="00CB56C6" w:rsidRPr="00607627">
        <w:rPr>
          <w:lang w:val="en-US"/>
        </w:rPr>
        <w:t>363</w:t>
      </w:r>
      <w:r w:rsidR="000719FD" w:rsidRPr="00607627">
        <w:rPr>
          <w:lang w:val="en-US"/>
        </w:rPr>
        <w:t xml:space="preserve"> (201</w:t>
      </w:r>
      <w:r w:rsidR="00CB56C6" w:rsidRPr="00607627">
        <w:rPr>
          <w:lang w:val="en-US"/>
        </w:rPr>
        <w:t>7</w:t>
      </w:r>
      <w:r w:rsidR="000719FD" w:rsidRPr="00607627">
        <w:rPr>
          <w:lang w:val="en-US"/>
        </w:rPr>
        <w:t xml:space="preserve">: </w:t>
      </w:r>
      <w:r w:rsidR="0037724E" w:rsidRPr="00607627">
        <w:rPr>
          <w:lang w:val="en-US"/>
        </w:rPr>
        <w:t>1</w:t>
      </w:r>
      <w:r>
        <w:rPr>
          <w:lang w:val="en-US"/>
        </w:rPr>
        <w:t>,</w:t>
      </w:r>
      <w:r w:rsidR="0037724E" w:rsidRPr="00607627">
        <w:rPr>
          <w:lang w:val="en-US"/>
        </w:rPr>
        <w:t>3</w:t>
      </w:r>
      <w:r w:rsidR="00CB56C6" w:rsidRPr="00607627">
        <w:rPr>
          <w:lang w:val="en-US"/>
        </w:rPr>
        <w:t>37</w:t>
      </w:r>
      <w:r w:rsidR="000719FD" w:rsidRPr="00607627">
        <w:rPr>
          <w:lang w:val="en-US"/>
        </w:rPr>
        <w:t xml:space="preserve">) </w:t>
      </w:r>
      <w:r>
        <w:rPr>
          <w:lang w:val="en-US"/>
        </w:rPr>
        <w:t>beds</w:t>
      </w:r>
      <w:r w:rsidR="000719FD" w:rsidRPr="00607627">
        <w:rPr>
          <w:lang w:val="en-US"/>
        </w:rPr>
        <w:t>.</w:t>
      </w:r>
      <w:r w:rsidR="0037724E" w:rsidRPr="00607627">
        <w:rPr>
          <w:lang w:val="en-US"/>
        </w:rPr>
        <w:t xml:space="preserve"> </w:t>
      </w:r>
    </w:p>
    <w:p w:rsidR="000719FD" w:rsidRPr="00607627" w:rsidRDefault="000719FD" w:rsidP="003A1318">
      <w:pPr>
        <w:jc w:val="both"/>
        <w:outlineLvl w:val="0"/>
        <w:rPr>
          <w:lang w:val="en-US"/>
        </w:rPr>
      </w:pPr>
    </w:p>
    <w:p w:rsidR="000719FD" w:rsidRPr="00607627" w:rsidRDefault="00F06988" w:rsidP="003A1318">
      <w:pPr>
        <w:jc w:val="both"/>
        <w:outlineLvl w:val="0"/>
        <w:rPr>
          <w:lang w:val="en-US"/>
        </w:rPr>
      </w:pPr>
      <w:r w:rsidRPr="00607627">
        <w:rPr>
          <w:lang w:val="en-US"/>
        </w:rPr>
        <w:lastRenderedPageBreak/>
        <w:t>87</w:t>
      </w:r>
      <w:r w:rsidR="003E3ADB">
        <w:rPr>
          <w:lang w:val="en-US"/>
        </w:rPr>
        <w:t>.</w:t>
      </w:r>
      <w:r w:rsidR="00CB56C6" w:rsidRPr="00607627">
        <w:rPr>
          <w:lang w:val="en-US"/>
        </w:rPr>
        <w:t>7</w:t>
      </w:r>
      <w:r w:rsidR="00BE4CB6" w:rsidRPr="00607627">
        <w:rPr>
          <w:lang w:val="en-US"/>
        </w:rPr>
        <w:t xml:space="preserve"> </w:t>
      </w:r>
      <w:r w:rsidR="000719FD" w:rsidRPr="00607627">
        <w:rPr>
          <w:lang w:val="en-US"/>
        </w:rPr>
        <w:t>%</w:t>
      </w:r>
      <w:r w:rsidR="003E3ADB">
        <w:rPr>
          <w:lang w:val="en-US"/>
        </w:rPr>
        <w:t xml:space="preserve"> of all overnights are accounted for by hotels and similar establishments</w:t>
      </w:r>
      <w:r w:rsidR="009B05CC" w:rsidRPr="00607627">
        <w:rPr>
          <w:lang w:val="en-US"/>
        </w:rPr>
        <w:t>,</w:t>
      </w:r>
      <w:r w:rsidR="000719FD" w:rsidRPr="00607627">
        <w:rPr>
          <w:lang w:val="en-US"/>
        </w:rPr>
        <w:t xml:space="preserve"> </w:t>
      </w:r>
      <w:r w:rsidR="00CB56C6" w:rsidRPr="00607627">
        <w:rPr>
          <w:lang w:val="en-US"/>
        </w:rPr>
        <w:t>1</w:t>
      </w:r>
      <w:r w:rsidR="003E3ADB">
        <w:rPr>
          <w:lang w:val="en-US"/>
        </w:rPr>
        <w:t>.</w:t>
      </w:r>
      <w:r w:rsidR="00CB56C6" w:rsidRPr="00607627">
        <w:rPr>
          <w:lang w:val="en-US"/>
        </w:rPr>
        <w:t>9</w:t>
      </w:r>
      <w:r w:rsidR="00BE4CB6" w:rsidRPr="00607627">
        <w:rPr>
          <w:lang w:val="en-US"/>
        </w:rPr>
        <w:t xml:space="preserve"> </w:t>
      </w:r>
      <w:r w:rsidR="000719FD" w:rsidRPr="00607627">
        <w:rPr>
          <w:lang w:val="en-US"/>
        </w:rPr>
        <w:t>%</w:t>
      </w:r>
      <w:r w:rsidR="005A4BCB">
        <w:rPr>
          <w:lang w:val="en-US"/>
        </w:rPr>
        <w:t xml:space="preserve"> by bed-and-breakfasts, 4.3% by youth hostels and campgrounds, and 6.1% by other accommodation providers (e.g. religious institutions</w:t>
      </w:r>
      <w:r w:rsidR="00D4495A" w:rsidRPr="00607627">
        <w:rPr>
          <w:lang w:val="en-US"/>
        </w:rPr>
        <w:t>).</w:t>
      </w:r>
    </w:p>
    <w:p w:rsidR="00DB6D1F" w:rsidRPr="00607627" w:rsidRDefault="00DB6D1F" w:rsidP="003A1318">
      <w:pPr>
        <w:jc w:val="both"/>
        <w:outlineLvl w:val="0"/>
        <w:rPr>
          <w:lang w:val="en-US"/>
        </w:rPr>
      </w:pPr>
    </w:p>
    <w:p w:rsidR="0016310C" w:rsidRPr="00607627" w:rsidRDefault="003D62A4" w:rsidP="0016310C">
      <w:pPr>
        <w:rPr>
          <w:b/>
          <w:lang w:val="en-US"/>
        </w:rPr>
      </w:pPr>
      <w:r>
        <w:rPr>
          <w:b/>
          <w:lang w:val="en-US"/>
        </w:rPr>
        <w:t xml:space="preserve">The significance of surrounding communities </w:t>
      </w:r>
    </w:p>
    <w:p w:rsidR="0016310C" w:rsidRPr="00607627" w:rsidRDefault="003D62A4" w:rsidP="00A36298">
      <w:pPr>
        <w:jc w:val="both"/>
        <w:rPr>
          <w:b/>
          <w:lang w:val="en-US"/>
        </w:rPr>
      </w:pPr>
      <w:r>
        <w:rPr>
          <w:color w:val="000000"/>
          <w:lang w:val="en-US"/>
        </w:rPr>
        <w:t xml:space="preserve">Since 2007, </w:t>
      </w:r>
      <w:r w:rsidR="0016310C" w:rsidRPr="00607627">
        <w:rPr>
          <w:color w:val="000000"/>
          <w:lang w:val="en-US"/>
        </w:rPr>
        <w:t>Tourismus Salzburg GmbH</w:t>
      </w:r>
      <w:r>
        <w:rPr>
          <w:color w:val="000000"/>
          <w:lang w:val="en-US"/>
        </w:rPr>
        <w:t xml:space="preserve"> has been collaborating closely with </w:t>
      </w:r>
      <w:r w:rsidR="000818DC">
        <w:rPr>
          <w:color w:val="000000"/>
          <w:lang w:val="en-US"/>
        </w:rPr>
        <w:t>9</w:t>
      </w:r>
      <w:r>
        <w:rPr>
          <w:color w:val="000000"/>
          <w:lang w:val="en-US"/>
        </w:rPr>
        <w:t xml:space="preserve"> surrounding communities: </w:t>
      </w:r>
      <w:proofErr w:type="spellStart"/>
      <w:r w:rsidR="0016310C" w:rsidRPr="00607627">
        <w:rPr>
          <w:color w:val="000000"/>
          <w:lang w:val="en-US"/>
        </w:rPr>
        <w:t>Anthering</w:t>
      </w:r>
      <w:proofErr w:type="spellEnd"/>
      <w:r w:rsidR="0016310C" w:rsidRPr="00607627">
        <w:rPr>
          <w:color w:val="000000"/>
          <w:lang w:val="en-US"/>
        </w:rPr>
        <w:t xml:space="preserve">, Bergheim, </w:t>
      </w:r>
      <w:proofErr w:type="spellStart"/>
      <w:r w:rsidR="0016310C" w:rsidRPr="00607627">
        <w:rPr>
          <w:color w:val="000000"/>
          <w:lang w:val="en-US"/>
        </w:rPr>
        <w:t>Elixhausen</w:t>
      </w:r>
      <w:proofErr w:type="spellEnd"/>
      <w:r w:rsidR="0016310C" w:rsidRPr="00607627">
        <w:rPr>
          <w:color w:val="000000"/>
          <w:lang w:val="en-US"/>
        </w:rPr>
        <w:t xml:space="preserve">, </w:t>
      </w:r>
      <w:proofErr w:type="spellStart"/>
      <w:r w:rsidR="0016310C" w:rsidRPr="00607627">
        <w:rPr>
          <w:color w:val="000000"/>
          <w:lang w:val="en-US"/>
        </w:rPr>
        <w:t>Elsbethen</w:t>
      </w:r>
      <w:proofErr w:type="spellEnd"/>
      <w:r w:rsidR="0016310C" w:rsidRPr="00607627">
        <w:rPr>
          <w:color w:val="000000"/>
          <w:lang w:val="en-US"/>
        </w:rPr>
        <w:t xml:space="preserve">, </w:t>
      </w:r>
      <w:proofErr w:type="spellStart"/>
      <w:r w:rsidR="0016310C" w:rsidRPr="00607627">
        <w:rPr>
          <w:color w:val="000000"/>
          <w:lang w:val="en-US"/>
        </w:rPr>
        <w:t>Eugendorf</w:t>
      </w:r>
      <w:proofErr w:type="spellEnd"/>
      <w:r w:rsidR="0016310C" w:rsidRPr="00607627">
        <w:rPr>
          <w:color w:val="000000"/>
          <w:lang w:val="en-US"/>
        </w:rPr>
        <w:t xml:space="preserve">, </w:t>
      </w:r>
      <w:proofErr w:type="spellStart"/>
      <w:r w:rsidR="0016310C" w:rsidRPr="00607627">
        <w:rPr>
          <w:color w:val="000000"/>
          <w:lang w:val="en-US"/>
        </w:rPr>
        <w:t>Gro</w:t>
      </w:r>
      <w:r>
        <w:rPr>
          <w:color w:val="000000"/>
          <w:lang w:val="en-US"/>
        </w:rPr>
        <w:t>ss</w:t>
      </w:r>
      <w:r w:rsidR="0016310C" w:rsidRPr="00607627">
        <w:rPr>
          <w:color w:val="000000"/>
          <w:lang w:val="en-US"/>
        </w:rPr>
        <w:t>gmain</w:t>
      </w:r>
      <w:proofErr w:type="spellEnd"/>
      <w:r w:rsidR="0016310C" w:rsidRPr="00607627">
        <w:rPr>
          <w:color w:val="000000"/>
          <w:lang w:val="en-US"/>
        </w:rPr>
        <w:t xml:space="preserve">, Grödig, </w:t>
      </w:r>
      <w:proofErr w:type="spellStart"/>
      <w:r w:rsidR="0016310C" w:rsidRPr="00607627">
        <w:rPr>
          <w:color w:val="000000"/>
          <w:lang w:val="en-US"/>
        </w:rPr>
        <w:t>Hallwang</w:t>
      </w:r>
      <w:proofErr w:type="spellEnd"/>
      <w:r w:rsidR="0016310C" w:rsidRPr="00607627">
        <w:rPr>
          <w:color w:val="000000"/>
          <w:lang w:val="en-US"/>
        </w:rPr>
        <w:t xml:space="preserve"> </w:t>
      </w:r>
      <w:r>
        <w:rPr>
          <w:color w:val="000000"/>
          <w:lang w:val="en-US"/>
        </w:rPr>
        <w:t>a</w:t>
      </w:r>
      <w:r w:rsidR="0016310C" w:rsidRPr="00607627">
        <w:rPr>
          <w:color w:val="000000"/>
          <w:lang w:val="en-US"/>
        </w:rPr>
        <w:t xml:space="preserve">nd </w:t>
      </w:r>
      <w:proofErr w:type="spellStart"/>
      <w:r w:rsidR="0016310C" w:rsidRPr="00607627">
        <w:rPr>
          <w:color w:val="000000"/>
          <w:lang w:val="en-US"/>
        </w:rPr>
        <w:t>Wals-Siezenheim</w:t>
      </w:r>
      <w:proofErr w:type="spellEnd"/>
      <w:r w:rsidR="0016310C" w:rsidRPr="00607627">
        <w:rPr>
          <w:color w:val="000000"/>
          <w:lang w:val="en-US"/>
        </w:rPr>
        <w:t xml:space="preserve">. </w:t>
      </w:r>
      <w:r>
        <w:rPr>
          <w:color w:val="000000"/>
          <w:lang w:val="en-US"/>
        </w:rPr>
        <w:t>A comparison of statistical data indicates that the benefits of city tourism affect surrounding communities to a similar extent</w:t>
      </w:r>
      <w:r w:rsidR="0016310C" w:rsidRPr="00607627">
        <w:rPr>
          <w:color w:val="000000"/>
          <w:lang w:val="en-US"/>
        </w:rPr>
        <w:t xml:space="preserve">. </w:t>
      </w:r>
      <w:r>
        <w:rPr>
          <w:color w:val="000000"/>
          <w:lang w:val="en-US"/>
        </w:rPr>
        <w:t xml:space="preserve">In total, lodging establishments in surrounding communities recorded 828,002 overnights </w:t>
      </w:r>
      <w:r w:rsidR="009B05CC" w:rsidRPr="00607627">
        <w:rPr>
          <w:color w:val="000000"/>
          <w:lang w:val="en-US"/>
        </w:rPr>
        <w:t>(+</w:t>
      </w:r>
      <w:r w:rsidR="009346D1" w:rsidRPr="00607627">
        <w:rPr>
          <w:color w:val="000000"/>
          <w:lang w:val="en-US"/>
        </w:rPr>
        <w:t>0</w:t>
      </w:r>
      <w:r>
        <w:rPr>
          <w:color w:val="000000"/>
          <w:lang w:val="en-US"/>
        </w:rPr>
        <w:t>.</w:t>
      </w:r>
      <w:r w:rsidR="009346D1" w:rsidRPr="00607627">
        <w:rPr>
          <w:color w:val="000000"/>
          <w:lang w:val="en-US"/>
        </w:rPr>
        <w:t>5</w:t>
      </w:r>
      <w:r w:rsidR="00BE4CB6" w:rsidRPr="00607627">
        <w:rPr>
          <w:color w:val="000000"/>
          <w:lang w:val="en-US"/>
        </w:rPr>
        <w:t xml:space="preserve"> </w:t>
      </w:r>
      <w:r w:rsidR="0016310C" w:rsidRPr="00607627">
        <w:rPr>
          <w:color w:val="000000"/>
          <w:lang w:val="en-US"/>
        </w:rPr>
        <w:t xml:space="preserve">% </w:t>
      </w:r>
      <w:r>
        <w:rPr>
          <w:color w:val="000000"/>
          <w:lang w:val="en-US"/>
        </w:rPr>
        <w:t>in comparison with the previous year</w:t>
      </w:r>
      <w:r w:rsidR="0016310C" w:rsidRPr="00607627">
        <w:rPr>
          <w:color w:val="000000"/>
          <w:lang w:val="en-US"/>
        </w:rPr>
        <w:t xml:space="preserve">). </w:t>
      </w:r>
      <w:r>
        <w:rPr>
          <w:color w:val="000000"/>
          <w:lang w:val="en-US"/>
        </w:rPr>
        <w:t>With an average length of stay of 1.8 nights, the 5050 beds had a 44.13% occupancy rate</w:t>
      </w:r>
      <w:r w:rsidR="0016310C" w:rsidRPr="00607627">
        <w:rPr>
          <w:color w:val="000000"/>
          <w:lang w:val="en-US"/>
        </w:rPr>
        <w:t xml:space="preserve">. </w:t>
      </w:r>
    </w:p>
    <w:p w:rsidR="0016310C" w:rsidRPr="00607627" w:rsidRDefault="0016310C" w:rsidP="003A1318">
      <w:pPr>
        <w:jc w:val="both"/>
        <w:outlineLvl w:val="0"/>
        <w:rPr>
          <w:lang w:val="en-US"/>
        </w:rPr>
      </w:pPr>
    </w:p>
    <w:p w:rsidR="000719FD" w:rsidRPr="00607627" w:rsidRDefault="003D62A4" w:rsidP="003A1318">
      <w:pPr>
        <w:jc w:val="both"/>
        <w:outlineLvl w:val="0"/>
        <w:rPr>
          <w:b/>
          <w:lang w:val="en-US"/>
        </w:rPr>
      </w:pPr>
      <w:r>
        <w:rPr>
          <w:b/>
          <w:lang w:val="en-US"/>
        </w:rPr>
        <w:t>Day Tourism</w:t>
      </w:r>
    </w:p>
    <w:p w:rsidR="000719FD" w:rsidRPr="00607627" w:rsidRDefault="003D62A4" w:rsidP="003A1318">
      <w:pPr>
        <w:jc w:val="both"/>
        <w:outlineLvl w:val="0"/>
        <w:rPr>
          <w:lang w:val="en-US"/>
        </w:rPr>
      </w:pPr>
      <w:r>
        <w:rPr>
          <w:lang w:val="en-US"/>
        </w:rPr>
        <w:t>Based on a study conducted in 2007, it can be assumed that roughly 6.5 million day-visitors come to Salzburg annually. 3.5 million of these guests are local (around 70% from Austria and 30% from neighboring Bavaria</w:t>
      </w:r>
      <w:r w:rsidR="008B6576" w:rsidRPr="00607627">
        <w:rPr>
          <w:lang w:val="en-US"/>
        </w:rPr>
        <w:t>)</w:t>
      </w:r>
      <w:r w:rsidR="009F7672" w:rsidRPr="00607627">
        <w:rPr>
          <w:lang w:val="en-US"/>
        </w:rPr>
        <w:t xml:space="preserve">, </w:t>
      </w:r>
      <w:r w:rsidR="00220C1B" w:rsidRPr="00607627">
        <w:rPr>
          <w:lang w:val="en-US"/>
        </w:rPr>
        <w:br/>
      </w:r>
      <w:r>
        <w:rPr>
          <w:lang w:val="en-US"/>
        </w:rPr>
        <w:t>of which 3 million are tourists. The most popular activities for day-tourists are dining out, strolling through the city and shopping. Seasonal peaks are reached during the summer months. On average, day-visitors spend 5 ½ hours in the city and spend around € 35 per capita</w:t>
      </w:r>
      <w:r w:rsidR="000719FD" w:rsidRPr="00607627">
        <w:rPr>
          <w:lang w:val="en-US"/>
        </w:rPr>
        <w:t>.</w:t>
      </w:r>
    </w:p>
    <w:p w:rsidR="000719FD" w:rsidRPr="00607627" w:rsidRDefault="000719FD" w:rsidP="003A1318">
      <w:pPr>
        <w:jc w:val="both"/>
        <w:outlineLvl w:val="0"/>
        <w:rPr>
          <w:lang w:val="en-US"/>
        </w:rPr>
      </w:pPr>
    </w:p>
    <w:p w:rsidR="000719FD" w:rsidRPr="00607627" w:rsidRDefault="003D62A4" w:rsidP="003A1318">
      <w:pPr>
        <w:jc w:val="both"/>
        <w:outlineLvl w:val="0"/>
        <w:rPr>
          <w:b/>
          <w:lang w:val="en-US"/>
        </w:rPr>
      </w:pPr>
      <w:r>
        <w:rPr>
          <w:b/>
          <w:lang w:val="en-US"/>
        </w:rPr>
        <w:t xml:space="preserve">Tourism as an economic factor </w:t>
      </w:r>
    </w:p>
    <w:p w:rsidR="000719FD" w:rsidRPr="00607627" w:rsidRDefault="003D62A4" w:rsidP="003A1318">
      <w:pPr>
        <w:jc w:val="both"/>
        <w:rPr>
          <w:lang w:val="en-US"/>
        </w:rPr>
      </w:pPr>
      <w:r>
        <w:rPr>
          <w:lang w:val="en-US"/>
        </w:rPr>
        <w:t xml:space="preserve">The total tourism revenue of Salzburg City is approximately €1 billion. </w:t>
      </w:r>
      <w:r w:rsidR="00352559">
        <w:rPr>
          <w:lang w:val="en-US"/>
        </w:rPr>
        <w:t>Estimates indicate that the share of Salzburg’s gross domestic product accounted for by tourism is around 15 to 20%. The city’s tourism economy generates roughly 10,000 jobs</w:t>
      </w:r>
      <w:r w:rsidR="000719FD" w:rsidRPr="00607627">
        <w:rPr>
          <w:lang w:val="en-US"/>
        </w:rPr>
        <w:t>.</w:t>
      </w:r>
    </w:p>
    <w:p w:rsidR="000719FD" w:rsidRPr="00607627" w:rsidRDefault="000719FD" w:rsidP="003A1318">
      <w:pPr>
        <w:jc w:val="both"/>
        <w:rPr>
          <w:lang w:val="en-US"/>
        </w:rPr>
      </w:pPr>
    </w:p>
    <w:p w:rsidR="000719FD" w:rsidRPr="00607627" w:rsidRDefault="00352559" w:rsidP="003A1318">
      <w:pPr>
        <w:jc w:val="both"/>
        <w:rPr>
          <w:lang w:val="en-US"/>
        </w:rPr>
      </w:pPr>
      <w:r>
        <w:rPr>
          <w:lang w:val="en-US"/>
        </w:rPr>
        <w:t xml:space="preserve">Aside from its tourism competency and its role as a cultural mecca, </w:t>
      </w:r>
      <w:r w:rsidR="000719FD" w:rsidRPr="00607627">
        <w:rPr>
          <w:lang w:val="en-US"/>
        </w:rPr>
        <w:t xml:space="preserve">Salzburg </w:t>
      </w:r>
      <w:r>
        <w:rPr>
          <w:lang w:val="en-US"/>
        </w:rPr>
        <w:t>is also of great importance as a commercial center in general</w:t>
      </w:r>
      <w:r w:rsidR="000719FD" w:rsidRPr="00607627">
        <w:rPr>
          <w:lang w:val="en-US"/>
        </w:rPr>
        <w:t>.</w:t>
      </w:r>
      <w:r>
        <w:rPr>
          <w:lang w:val="en-US"/>
        </w:rPr>
        <w:t xml:space="preserve"> The economic impact of Salzburg not only affects the province of the same name, but also the entire region, comprising parts of neighboring Bavaria as well as sections of Upper Austria</w:t>
      </w:r>
      <w:r w:rsidR="000719FD" w:rsidRPr="00607627">
        <w:rPr>
          <w:lang w:val="en-US"/>
        </w:rPr>
        <w:t xml:space="preserve">. </w:t>
      </w:r>
      <w:r>
        <w:rPr>
          <w:lang w:val="en-US"/>
        </w:rPr>
        <w:t xml:space="preserve">Important service and commercial enterprises, such as </w:t>
      </w:r>
      <w:r w:rsidR="000719FD" w:rsidRPr="00607627">
        <w:rPr>
          <w:lang w:val="en-US"/>
        </w:rPr>
        <w:t>Porsche Holding</w:t>
      </w:r>
      <w:r>
        <w:rPr>
          <w:lang w:val="en-US"/>
        </w:rPr>
        <w:t xml:space="preserve"> and </w:t>
      </w:r>
      <w:r w:rsidR="000719FD" w:rsidRPr="00607627">
        <w:rPr>
          <w:lang w:val="en-US"/>
        </w:rPr>
        <w:t xml:space="preserve">Spar </w:t>
      </w:r>
      <w:proofErr w:type="spellStart"/>
      <w:r w:rsidR="000719FD" w:rsidRPr="00607627">
        <w:rPr>
          <w:lang w:val="en-US"/>
        </w:rPr>
        <w:t>Handelsgesells</w:t>
      </w:r>
      <w:r w:rsidR="00BE4CB6" w:rsidRPr="00607627">
        <w:rPr>
          <w:lang w:val="en-US"/>
        </w:rPr>
        <w:t>chaft</w:t>
      </w:r>
      <w:proofErr w:type="spellEnd"/>
      <w:r>
        <w:rPr>
          <w:lang w:val="en-US"/>
        </w:rPr>
        <w:t xml:space="preserve">, are headquartered here. Furthermore, renowned banking institutions such as </w:t>
      </w:r>
      <w:proofErr w:type="spellStart"/>
      <w:r w:rsidR="000719FD" w:rsidRPr="00607627">
        <w:rPr>
          <w:lang w:val="en-US"/>
        </w:rPr>
        <w:t>Bankhaus</w:t>
      </w:r>
      <w:proofErr w:type="spellEnd"/>
      <w:r w:rsidR="000719FD" w:rsidRPr="00607627">
        <w:rPr>
          <w:lang w:val="en-US"/>
        </w:rPr>
        <w:t xml:space="preserve"> </w:t>
      </w:r>
      <w:proofErr w:type="spellStart"/>
      <w:r w:rsidR="000719FD" w:rsidRPr="00607627">
        <w:rPr>
          <w:lang w:val="en-US"/>
        </w:rPr>
        <w:t>Spängler</w:t>
      </w:r>
      <w:proofErr w:type="spellEnd"/>
      <w:r w:rsidR="000719FD" w:rsidRPr="00607627">
        <w:rPr>
          <w:lang w:val="en-US"/>
        </w:rPr>
        <w:t xml:space="preserve"> </w:t>
      </w:r>
      <w:r>
        <w:rPr>
          <w:lang w:val="en-US"/>
        </w:rPr>
        <w:t>a</w:t>
      </w:r>
      <w:r w:rsidR="000719FD" w:rsidRPr="00607627">
        <w:rPr>
          <w:lang w:val="en-US"/>
        </w:rPr>
        <w:t xml:space="preserve">nd </w:t>
      </w:r>
      <w:proofErr w:type="spellStart"/>
      <w:r w:rsidR="000719FD" w:rsidRPr="00607627">
        <w:rPr>
          <w:lang w:val="en-US"/>
        </w:rPr>
        <w:t>Wüstenrot</w:t>
      </w:r>
      <w:proofErr w:type="spellEnd"/>
      <w:r>
        <w:rPr>
          <w:lang w:val="en-US"/>
        </w:rPr>
        <w:t xml:space="preserve">, along with numerous major shipping companies take advantage of </w:t>
      </w:r>
      <w:r w:rsidR="000818DC">
        <w:rPr>
          <w:lang w:val="en-US"/>
        </w:rPr>
        <w:t>the</w:t>
      </w:r>
      <w:r>
        <w:rPr>
          <w:lang w:val="en-US"/>
        </w:rPr>
        <w:t xml:space="preserve"> central location for their primary business headquarters</w:t>
      </w:r>
      <w:r w:rsidR="000719FD" w:rsidRPr="00607627">
        <w:rPr>
          <w:lang w:val="en-US"/>
        </w:rPr>
        <w:t>.</w:t>
      </w:r>
      <w:r w:rsidR="003421BA" w:rsidRPr="00607627">
        <w:rPr>
          <w:lang w:val="en-US"/>
        </w:rPr>
        <w:t xml:space="preserve"> </w:t>
      </w:r>
    </w:p>
    <w:p w:rsidR="00D42BA7" w:rsidRPr="00607627" w:rsidRDefault="00D42BA7" w:rsidP="003A1318">
      <w:pPr>
        <w:jc w:val="both"/>
        <w:rPr>
          <w:lang w:val="en-US"/>
        </w:rPr>
      </w:pPr>
    </w:p>
    <w:p w:rsidR="00D42BA7" w:rsidRPr="00607627" w:rsidRDefault="00352559" w:rsidP="003A1318">
      <w:pPr>
        <w:jc w:val="both"/>
        <w:rPr>
          <w:lang w:val="en-US"/>
        </w:rPr>
      </w:pPr>
      <w:r>
        <w:rPr>
          <w:lang w:val="en-US"/>
        </w:rPr>
        <w:t xml:space="preserve">Current impact studies of important tourism providers attest to the economic </w:t>
      </w:r>
      <w:r w:rsidR="000818DC">
        <w:rPr>
          <w:lang w:val="en-US"/>
        </w:rPr>
        <w:t xml:space="preserve">benefits </w:t>
      </w:r>
      <w:r>
        <w:rPr>
          <w:lang w:val="en-US"/>
        </w:rPr>
        <w:t>of tourism for the city</w:t>
      </w:r>
      <w:r w:rsidR="00D42BA7" w:rsidRPr="00607627">
        <w:rPr>
          <w:lang w:val="en-US"/>
        </w:rPr>
        <w:t xml:space="preserve">: </w:t>
      </w:r>
      <w:r w:rsidR="00545ABB">
        <w:rPr>
          <w:lang w:val="en-US"/>
        </w:rPr>
        <w:t xml:space="preserve">€ 183 million </w:t>
      </w:r>
      <w:r w:rsidR="000818DC">
        <w:rPr>
          <w:lang w:val="en-US"/>
        </w:rPr>
        <w:t>is</w:t>
      </w:r>
      <w:r w:rsidR="00545ABB">
        <w:rPr>
          <w:lang w:val="en-US"/>
        </w:rPr>
        <w:t xml:space="preserve"> injected directly by the Salzburg Festival alone, which in turn generates around € 77 million in local and federal taxes</w:t>
      </w:r>
      <w:r w:rsidR="00D42BA7" w:rsidRPr="00607627">
        <w:rPr>
          <w:lang w:val="en-US"/>
        </w:rPr>
        <w:t xml:space="preserve">. </w:t>
      </w:r>
      <w:r w:rsidR="00545ABB">
        <w:rPr>
          <w:lang w:val="en-US"/>
        </w:rPr>
        <w:t>The</w:t>
      </w:r>
      <w:r w:rsidR="004252A3" w:rsidRPr="00607627">
        <w:rPr>
          <w:lang w:val="en-US"/>
        </w:rPr>
        <w:t xml:space="preserve"> Christkindlmarkt </w:t>
      </w:r>
      <w:r w:rsidR="00545ABB">
        <w:rPr>
          <w:lang w:val="en-US"/>
        </w:rPr>
        <w:t>on</w:t>
      </w:r>
      <w:r w:rsidR="004252A3" w:rsidRPr="00607627">
        <w:rPr>
          <w:lang w:val="en-US"/>
        </w:rPr>
        <w:t xml:space="preserve"> Dom- </w:t>
      </w:r>
      <w:r w:rsidR="00545ABB">
        <w:rPr>
          <w:lang w:val="en-US"/>
        </w:rPr>
        <w:t>a</w:t>
      </w:r>
      <w:r w:rsidR="004252A3" w:rsidRPr="00607627">
        <w:rPr>
          <w:lang w:val="en-US"/>
        </w:rPr>
        <w:t xml:space="preserve">nd Residenzplatz </w:t>
      </w:r>
      <w:r w:rsidR="00545ABB">
        <w:rPr>
          <w:lang w:val="en-US"/>
        </w:rPr>
        <w:t xml:space="preserve">squares brings in roughly € 60 million, while the </w:t>
      </w:r>
      <w:r w:rsidR="004252A3" w:rsidRPr="00607627">
        <w:rPr>
          <w:lang w:val="en-US"/>
        </w:rPr>
        <w:t>Salzburg</w:t>
      </w:r>
      <w:r w:rsidR="00545ABB">
        <w:rPr>
          <w:lang w:val="en-US"/>
        </w:rPr>
        <w:t xml:space="preserve"> Cultural Association claims approximately € 9 million a year</w:t>
      </w:r>
      <w:r w:rsidR="004252A3" w:rsidRPr="00607627">
        <w:rPr>
          <w:lang w:val="en-US"/>
        </w:rPr>
        <w:t xml:space="preserve">. </w:t>
      </w:r>
    </w:p>
    <w:p w:rsidR="004252A3" w:rsidRPr="00607627" w:rsidRDefault="004252A3" w:rsidP="003A1318">
      <w:pPr>
        <w:jc w:val="both"/>
        <w:rPr>
          <w:lang w:val="en-US"/>
        </w:rPr>
      </w:pPr>
    </w:p>
    <w:p w:rsidR="000719FD" w:rsidRPr="00607627" w:rsidRDefault="00545ABB" w:rsidP="003A1318">
      <w:pPr>
        <w:jc w:val="both"/>
        <w:outlineLvl w:val="0"/>
        <w:rPr>
          <w:b/>
          <w:lang w:val="en-US"/>
        </w:rPr>
      </w:pPr>
      <w:r>
        <w:rPr>
          <w:b/>
          <w:lang w:val="en-US"/>
        </w:rPr>
        <w:t>Visitor numbers from the most important sightseeing attractions in 2018</w:t>
      </w:r>
      <w:r w:rsidR="000719FD" w:rsidRPr="00607627">
        <w:rPr>
          <w:b/>
          <w:lang w:val="en-US"/>
        </w:rPr>
        <w:t>:</w:t>
      </w:r>
    </w:p>
    <w:p w:rsidR="000719FD" w:rsidRPr="00607627" w:rsidRDefault="000719FD" w:rsidP="003A1318">
      <w:pPr>
        <w:jc w:val="both"/>
        <w:outlineLvl w:val="0"/>
        <w:rPr>
          <w:b/>
          <w:lang w:val="en-US"/>
        </w:rPr>
      </w:pPr>
    </w:p>
    <w:p w:rsidR="000719FD" w:rsidRPr="00607627" w:rsidRDefault="00246444" w:rsidP="003A1318">
      <w:pPr>
        <w:numPr>
          <w:ilvl w:val="0"/>
          <w:numId w:val="5"/>
        </w:numPr>
        <w:jc w:val="both"/>
        <w:rPr>
          <w:szCs w:val="24"/>
          <w:lang w:val="en-US"/>
        </w:rPr>
      </w:pPr>
      <w:r w:rsidRPr="00607627">
        <w:rPr>
          <w:szCs w:val="24"/>
          <w:lang w:val="en-US"/>
        </w:rPr>
        <w:t>Hohensalzburg</w:t>
      </w:r>
      <w:r w:rsidR="00545ABB">
        <w:rPr>
          <w:szCs w:val="24"/>
          <w:lang w:val="en-US"/>
        </w:rPr>
        <w:t xml:space="preserve"> Fortress</w:t>
      </w:r>
      <w:r w:rsidRPr="00607627">
        <w:rPr>
          <w:szCs w:val="24"/>
          <w:lang w:val="en-US"/>
        </w:rPr>
        <w:t xml:space="preserve"> </w:t>
      </w:r>
      <w:r w:rsidR="00DC7308" w:rsidRPr="00607627">
        <w:rPr>
          <w:lang w:val="en-US" w:eastAsia="en-US"/>
        </w:rPr>
        <w:t>1</w:t>
      </w:r>
      <w:r w:rsidR="00545ABB">
        <w:rPr>
          <w:lang w:val="en-US" w:eastAsia="en-US"/>
        </w:rPr>
        <w:t>,</w:t>
      </w:r>
      <w:r w:rsidR="00DC7308" w:rsidRPr="00607627">
        <w:rPr>
          <w:lang w:val="en-US" w:eastAsia="en-US"/>
        </w:rPr>
        <w:t>290</w:t>
      </w:r>
      <w:r w:rsidR="00545ABB">
        <w:rPr>
          <w:lang w:val="en-US" w:eastAsia="en-US"/>
        </w:rPr>
        <w:t>,</w:t>
      </w:r>
      <w:r w:rsidR="00DC7308" w:rsidRPr="00607627">
        <w:rPr>
          <w:lang w:val="en-US" w:eastAsia="en-US"/>
        </w:rPr>
        <w:t>000 </w:t>
      </w:r>
      <w:r w:rsidR="003421BA" w:rsidRPr="00607627">
        <w:rPr>
          <w:szCs w:val="24"/>
          <w:lang w:val="en-US"/>
        </w:rPr>
        <w:t>(2017</w:t>
      </w:r>
      <w:r w:rsidR="000719FD" w:rsidRPr="00607627">
        <w:rPr>
          <w:szCs w:val="24"/>
          <w:lang w:val="en-US"/>
        </w:rPr>
        <w:t xml:space="preserve">: </w:t>
      </w:r>
      <w:r w:rsidR="003421BA" w:rsidRPr="00607627">
        <w:rPr>
          <w:szCs w:val="24"/>
          <w:lang w:val="en-US"/>
        </w:rPr>
        <w:t>1</w:t>
      </w:r>
      <w:r w:rsidR="00545ABB">
        <w:rPr>
          <w:szCs w:val="24"/>
          <w:lang w:val="en-US"/>
        </w:rPr>
        <w:t>,</w:t>
      </w:r>
      <w:r w:rsidR="003421BA" w:rsidRPr="00607627">
        <w:rPr>
          <w:szCs w:val="24"/>
          <w:lang w:val="en-US"/>
        </w:rPr>
        <w:t>197</w:t>
      </w:r>
      <w:r w:rsidR="00545ABB">
        <w:rPr>
          <w:szCs w:val="24"/>
          <w:lang w:val="en-US"/>
        </w:rPr>
        <w:t>,</w:t>
      </w:r>
      <w:r w:rsidR="003421BA" w:rsidRPr="00607627">
        <w:rPr>
          <w:szCs w:val="24"/>
          <w:lang w:val="en-US"/>
        </w:rPr>
        <w:t>552</w:t>
      </w:r>
      <w:r w:rsidR="000719FD" w:rsidRPr="00607627">
        <w:rPr>
          <w:szCs w:val="24"/>
          <w:lang w:val="en-US"/>
        </w:rPr>
        <w:t xml:space="preserve">)  </w:t>
      </w:r>
    </w:p>
    <w:p w:rsidR="000719FD" w:rsidRPr="00607627" w:rsidRDefault="00545ABB" w:rsidP="003A1318">
      <w:pPr>
        <w:numPr>
          <w:ilvl w:val="0"/>
          <w:numId w:val="5"/>
        </w:numPr>
        <w:jc w:val="both"/>
        <w:rPr>
          <w:szCs w:val="24"/>
          <w:lang w:val="en-US"/>
        </w:rPr>
      </w:pPr>
      <w:r>
        <w:rPr>
          <w:szCs w:val="24"/>
          <w:lang w:val="en-US"/>
        </w:rPr>
        <w:t xml:space="preserve">Fortress Museum </w:t>
      </w:r>
      <w:r w:rsidR="00174055" w:rsidRPr="00607627">
        <w:rPr>
          <w:rFonts w:ascii="Helvetica" w:hAnsi="Helvetica" w:cs="Helvetica"/>
          <w:lang w:val="en-US"/>
        </w:rPr>
        <w:t>720</w:t>
      </w:r>
      <w:r>
        <w:rPr>
          <w:rFonts w:ascii="Helvetica" w:hAnsi="Helvetica" w:cs="Helvetica"/>
          <w:lang w:val="en-US"/>
        </w:rPr>
        <w:t>,</w:t>
      </w:r>
      <w:r w:rsidR="00174055" w:rsidRPr="00607627">
        <w:rPr>
          <w:rFonts w:ascii="Helvetica" w:hAnsi="Helvetica" w:cs="Helvetica"/>
          <w:lang w:val="en-US"/>
        </w:rPr>
        <w:t>048</w:t>
      </w:r>
      <w:r w:rsidR="00246444" w:rsidRPr="00607627">
        <w:rPr>
          <w:rFonts w:ascii="Helvetica" w:hAnsi="Helvetica" w:cs="Helvetica"/>
          <w:lang w:val="en-US"/>
        </w:rPr>
        <w:t xml:space="preserve"> (201</w:t>
      </w:r>
      <w:r w:rsidR="003421BA" w:rsidRPr="00607627">
        <w:rPr>
          <w:rFonts w:ascii="Helvetica" w:hAnsi="Helvetica" w:cs="Helvetica"/>
          <w:lang w:val="en-US"/>
        </w:rPr>
        <w:t>7</w:t>
      </w:r>
      <w:r w:rsidR="000719FD" w:rsidRPr="00607627">
        <w:rPr>
          <w:rFonts w:ascii="Helvetica" w:hAnsi="Helvetica" w:cs="Helvetica"/>
          <w:lang w:val="en-US"/>
        </w:rPr>
        <w:t xml:space="preserve">: </w:t>
      </w:r>
      <w:r w:rsidR="003421BA" w:rsidRPr="00607627">
        <w:rPr>
          <w:rFonts w:ascii="Helvetica" w:hAnsi="Helvetica" w:cs="Helvetica"/>
          <w:lang w:val="en-US"/>
        </w:rPr>
        <w:t>695</w:t>
      </w:r>
      <w:r>
        <w:rPr>
          <w:rFonts w:ascii="Helvetica" w:hAnsi="Helvetica" w:cs="Helvetica"/>
          <w:lang w:val="en-US"/>
        </w:rPr>
        <w:t>,</w:t>
      </w:r>
      <w:r w:rsidR="003421BA" w:rsidRPr="00607627">
        <w:rPr>
          <w:rFonts w:ascii="Helvetica" w:hAnsi="Helvetica" w:cs="Helvetica"/>
          <w:lang w:val="en-US"/>
        </w:rPr>
        <w:t>747</w:t>
      </w:r>
      <w:r w:rsidR="000719FD" w:rsidRPr="00607627">
        <w:rPr>
          <w:szCs w:val="24"/>
          <w:lang w:val="en-US"/>
        </w:rPr>
        <w:t>)</w:t>
      </w:r>
    </w:p>
    <w:p w:rsidR="000719FD" w:rsidRPr="00607627" w:rsidRDefault="00545ABB" w:rsidP="003A1318">
      <w:pPr>
        <w:numPr>
          <w:ilvl w:val="0"/>
          <w:numId w:val="5"/>
        </w:numPr>
        <w:jc w:val="both"/>
        <w:rPr>
          <w:szCs w:val="24"/>
          <w:lang w:val="en-US"/>
        </w:rPr>
      </w:pPr>
      <w:r>
        <w:rPr>
          <w:szCs w:val="24"/>
          <w:lang w:val="en-US"/>
        </w:rPr>
        <w:t>Mozart’s Birthplace and the Mozart Residence</w:t>
      </w:r>
      <w:r w:rsidR="006D75AF" w:rsidRPr="00607627">
        <w:rPr>
          <w:szCs w:val="24"/>
          <w:lang w:val="en-US"/>
        </w:rPr>
        <w:t>: 548</w:t>
      </w:r>
      <w:r>
        <w:rPr>
          <w:szCs w:val="24"/>
          <w:lang w:val="en-US"/>
        </w:rPr>
        <w:t>,</w:t>
      </w:r>
      <w:r w:rsidR="006D75AF" w:rsidRPr="00607627">
        <w:rPr>
          <w:szCs w:val="24"/>
          <w:lang w:val="en-US"/>
        </w:rPr>
        <w:t xml:space="preserve">048 </w:t>
      </w:r>
      <w:r w:rsidR="00246444" w:rsidRPr="00607627">
        <w:rPr>
          <w:szCs w:val="24"/>
          <w:lang w:val="en-US"/>
        </w:rPr>
        <w:t>(201</w:t>
      </w:r>
      <w:r w:rsidR="003421BA" w:rsidRPr="00607627">
        <w:rPr>
          <w:szCs w:val="24"/>
          <w:lang w:val="en-US"/>
        </w:rPr>
        <w:t>7</w:t>
      </w:r>
      <w:r w:rsidR="000719FD" w:rsidRPr="00607627">
        <w:rPr>
          <w:szCs w:val="24"/>
          <w:lang w:val="en-US"/>
        </w:rPr>
        <w:t xml:space="preserve">: </w:t>
      </w:r>
      <w:r w:rsidR="003421BA" w:rsidRPr="00607627">
        <w:rPr>
          <w:szCs w:val="24"/>
          <w:lang w:val="en-US"/>
        </w:rPr>
        <w:t>519</w:t>
      </w:r>
      <w:r w:rsidR="000818DC">
        <w:rPr>
          <w:szCs w:val="24"/>
          <w:lang w:val="en-US"/>
        </w:rPr>
        <w:t>,</w:t>
      </w:r>
      <w:r w:rsidR="003421BA" w:rsidRPr="00607627">
        <w:rPr>
          <w:szCs w:val="24"/>
          <w:lang w:val="en-US"/>
        </w:rPr>
        <w:t>040</w:t>
      </w:r>
      <w:r w:rsidR="000719FD" w:rsidRPr="00607627">
        <w:rPr>
          <w:szCs w:val="24"/>
          <w:lang w:val="en-US"/>
        </w:rPr>
        <w:t>)</w:t>
      </w:r>
    </w:p>
    <w:p w:rsidR="000719FD" w:rsidRPr="00607627" w:rsidRDefault="00246444" w:rsidP="003A1318">
      <w:pPr>
        <w:numPr>
          <w:ilvl w:val="0"/>
          <w:numId w:val="5"/>
        </w:numPr>
        <w:jc w:val="both"/>
        <w:rPr>
          <w:szCs w:val="24"/>
          <w:lang w:val="en-US"/>
        </w:rPr>
      </w:pPr>
      <w:r w:rsidRPr="00607627">
        <w:rPr>
          <w:szCs w:val="24"/>
          <w:lang w:val="en-US"/>
        </w:rPr>
        <w:t>Salzburg</w:t>
      </w:r>
      <w:r w:rsidR="00545ABB">
        <w:rPr>
          <w:szCs w:val="24"/>
          <w:lang w:val="en-US"/>
        </w:rPr>
        <w:t xml:space="preserve"> Zoo</w:t>
      </w:r>
      <w:r w:rsidRPr="00607627">
        <w:rPr>
          <w:szCs w:val="24"/>
          <w:lang w:val="en-US"/>
        </w:rPr>
        <w:t xml:space="preserve">: </w:t>
      </w:r>
      <w:r w:rsidR="006F004F" w:rsidRPr="00607627">
        <w:rPr>
          <w:szCs w:val="24"/>
          <w:lang w:val="en-US"/>
        </w:rPr>
        <w:t>390</w:t>
      </w:r>
      <w:r w:rsidR="00545ABB">
        <w:rPr>
          <w:szCs w:val="24"/>
          <w:lang w:val="en-US"/>
        </w:rPr>
        <w:t>,</w:t>
      </w:r>
      <w:r w:rsidR="006F004F" w:rsidRPr="00607627">
        <w:rPr>
          <w:szCs w:val="24"/>
          <w:lang w:val="en-US"/>
        </w:rPr>
        <w:t xml:space="preserve">983 </w:t>
      </w:r>
      <w:r w:rsidRPr="00607627">
        <w:rPr>
          <w:szCs w:val="24"/>
          <w:lang w:val="en-US"/>
        </w:rPr>
        <w:t>(201</w:t>
      </w:r>
      <w:r w:rsidR="003421BA" w:rsidRPr="00607627">
        <w:rPr>
          <w:szCs w:val="24"/>
          <w:lang w:val="en-US"/>
        </w:rPr>
        <w:t>7</w:t>
      </w:r>
      <w:r w:rsidR="000719FD" w:rsidRPr="00607627">
        <w:rPr>
          <w:szCs w:val="24"/>
          <w:lang w:val="en-US"/>
        </w:rPr>
        <w:t xml:space="preserve">: </w:t>
      </w:r>
      <w:r w:rsidR="003421BA" w:rsidRPr="00607627">
        <w:rPr>
          <w:szCs w:val="24"/>
          <w:lang w:val="en-US"/>
        </w:rPr>
        <w:t>345</w:t>
      </w:r>
      <w:r w:rsidR="00545ABB">
        <w:rPr>
          <w:szCs w:val="24"/>
          <w:lang w:val="en-US"/>
        </w:rPr>
        <w:t>,</w:t>
      </w:r>
      <w:r w:rsidR="003421BA" w:rsidRPr="00607627">
        <w:rPr>
          <w:szCs w:val="24"/>
          <w:lang w:val="en-US"/>
        </w:rPr>
        <w:t>258</w:t>
      </w:r>
      <w:r w:rsidR="000719FD" w:rsidRPr="00607627">
        <w:rPr>
          <w:szCs w:val="24"/>
          <w:lang w:val="en-US"/>
        </w:rPr>
        <w:t>)</w:t>
      </w:r>
    </w:p>
    <w:p w:rsidR="000719FD" w:rsidRPr="00607627" w:rsidRDefault="00246444" w:rsidP="003A1318">
      <w:pPr>
        <w:numPr>
          <w:ilvl w:val="0"/>
          <w:numId w:val="5"/>
        </w:numPr>
        <w:jc w:val="both"/>
        <w:rPr>
          <w:szCs w:val="24"/>
          <w:lang w:val="en-US"/>
        </w:rPr>
      </w:pPr>
      <w:r w:rsidRPr="00607627">
        <w:rPr>
          <w:szCs w:val="24"/>
          <w:lang w:val="en-US"/>
        </w:rPr>
        <w:t xml:space="preserve">Haus der Natur: </w:t>
      </w:r>
      <w:r w:rsidR="00CC20DD" w:rsidRPr="00607627">
        <w:rPr>
          <w:szCs w:val="24"/>
          <w:lang w:val="en-US"/>
        </w:rPr>
        <w:t>321</w:t>
      </w:r>
      <w:r w:rsidR="00545ABB">
        <w:rPr>
          <w:szCs w:val="24"/>
          <w:lang w:val="en-US"/>
        </w:rPr>
        <w:t>,</w:t>
      </w:r>
      <w:r w:rsidR="00CC20DD" w:rsidRPr="00607627">
        <w:rPr>
          <w:szCs w:val="24"/>
          <w:lang w:val="en-US"/>
        </w:rPr>
        <w:t xml:space="preserve">061 </w:t>
      </w:r>
      <w:r w:rsidRPr="00607627">
        <w:rPr>
          <w:szCs w:val="24"/>
          <w:lang w:val="en-US"/>
        </w:rPr>
        <w:t>(201</w:t>
      </w:r>
      <w:r w:rsidR="003421BA" w:rsidRPr="00607627">
        <w:rPr>
          <w:szCs w:val="24"/>
          <w:lang w:val="en-US"/>
        </w:rPr>
        <w:t>7</w:t>
      </w:r>
      <w:r w:rsidR="000719FD" w:rsidRPr="00607627">
        <w:rPr>
          <w:szCs w:val="24"/>
          <w:lang w:val="en-US"/>
        </w:rPr>
        <w:t xml:space="preserve">: </w:t>
      </w:r>
      <w:r w:rsidR="003421BA" w:rsidRPr="00607627">
        <w:rPr>
          <w:szCs w:val="24"/>
          <w:lang w:val="en-US"/>
        </w:rPr>
        <w:t>332</w:t>
      </w:r>
      <w:r w:rsidR="00545ABB">
        <w:rPr>
          <w:szCs w:val="24"/>
          <w:lang w:val="en-US"/>
        </w:rPr>
        <w:t>,</w:t>
      </w:r>
      <w:r w:rsidR="003421BA" w:rsidRPr="00607627">
        <w:rPr>
          <w:szCs w:val="24"/>
          <w:lang w:val="en-US"/>
        </w:rPr>
        <w:t>153</w:t>
      </w:r>
      <w:r w:rsidR="000719FD" w:rsidRPr="00607627">
        <w:rPr>
          <w:szCs w:val="24"/>
          <w:lang w:val="en-US"/>
        </w:rPr>
        <w:t xml:space="preserve">) </w:t>
      </w:r>
    </w:p>
    <w:p w:rsidR="000719FD" w:rsidRPr="00607627" w:rsidRDefault="00545ABB" w:rsidP="003A1318">
      <w:pPr>
        <w:numPr>
          <w:ilvl w:val="0"/>
          <w:numId w:val="5"/>
        </w:numPr>
        <w:jc w:val="both"/>
        <w:rPr>
          <w:sz w:val="18"/>
          <w:szCs w:val="24"/>
          <w:lang w:val="en-US"/>
        </w:rPr>
      </w:pPr>
      <w:r>
        <w:rPr>
          <w:lang w:val="en-US"/>
        </w:rPr>
        <w:lastRenderedPageBreak/>
        <w:t>Hellbrunn Palace and grounds, including the trick fountains</w:t>
      </w:r>
      <w:r w:rsidR="00F271B8" w:rsidRPr="00607627">
        <w:rPr>
          <w:lang w:val="en-US"/>
        </w:rPr>
        <w:t>: 288</w:t>
      </w:r>
      <w:r>
        <w:rPr>
          <w:lang w:val="en-US"/>
        </w:rPr>
        <w:t>,</w:t>
      </w:r>
      <w:r w:rsidR="00F271B8" w:rsidRPr="00607627">
        <w:rPr>
          <w:lang w:val="en-US"/>
        </w:rPr>
        <w:t>123</w:t>
      </w:r>
      <w:r w:rsidR="000E2AA8" w:rsidRPr="00607627">
        <w:rPr>
          <w:rFonts w:ascii="Verdana" w:hAnsi="Verdana"/>
          <w:color w:val="1F497D"/>
          <w:sz w:val="20"/>
          <w:szCs w:val="20"/>
          <w:lang w:val="en-US"/>
        </w:rPr>
        <w:t xml:space="preserve"> </w:t>
      </w:r>
      <w:r w:rsidR="000719FD" w:rsidRPr="00607627">
        <w:rPr>
          <w:lang w:val="en-US"/>
        </w:rPr>
        <w:t>(2</w:t>
      </w:r>
      <w:r w:rsidR="00246444" w:rsidRPr="00607627">
        <w:rPr>
          <w:lang w:val="en-US"/>
        </w:rPr>
        <w:t>01</w:t>
      </w:r>
      <w:r w:rsidR="00F271B8" w:rsidRPr="00607627">
        <w:rPr>
          <w:lang w:val="en-US"/>
        </w:rPr>
        <w:t>7</w:t>
      </w:r>
      <w:r w:rsidR="000719FD" w:rsidRPr="00607627">
        <w:rPr>
          <w:lang w:val="en-US"/>
        </w:rPr>
        <w:t xml:space="preserve">: </w:t>
      </w:r>
      <w:r w:rsidR="00F271B8" w:rsidRPr="00607627">
        <w:rPr>
          <w:lang w:val="en-US"/>
        </w:rPr>
        <w:t>265</w:t>
      </w:r>
      <w:r>
        <w:rPr>
          <w:lang w:val="en-US"/>
        </w:rPr>
        <w:t>,</w:t>
      </w:r>
      <w:r w:rsidR="00F271B8" w:rsidRPr="00607627">
        <w:rPr>
          <w:lang w:val="en-US"/>
        </w:rPr>
        <w:t>965</w:t>
      </w:r>
      <w:r w:rsidR="000719FD" w:rsidRPr="00607627">
        <w:rPr>
          <w:lang w:val="en-US"/>
        </w:rPr>
        <w:t xml:space="preserve">) </w:t>
      </w:r>
    </w:p>
    <w:p w:rsidR="00530F76" w:rsidRPr="00607627" w:rsidRDefault="005204DF" w:rsidP="00530F76">
      <w:pPr>
        <w:numPr>
          <w:ilvl w:val="0"/>
          <w:numId w:val="5"/>
        </w:numPr>
        <w:jc w:val="both"/>
        <w:rPr>
          <w:szCs w:val="24"/>
          <w:lang w:val="en-US"/>
        </w:rPr>
      </w:pPr>
      <w:r w:rsidRPr="00607627">
        <w:rPr>
          <w:szCs w:val="24"/>
          <w:lang w:val="en-US"/>
        </w:rPr>
        <w:t>DomQ</w:t>
      </w:r>
      <w:r w:rsidR="000719FD" w:rsidRPr="00607627">
        <w:rPr>
          <w:szCs w:val="24"/>
          <w:lang w:val="en-US"/>
        </w:rPr>
        <w:t>uartier</w:t>
      </w:r>
      <w:r w:rsidR="00BE4CB6" w:rsidRPr="00607627">
        <w:rPr>
          <w:szCs w:val="24"/>
          <w:lang w:val="en-US"/>
        </w:rPr>
        <w:t>:</w:t>
      </w:r>
      <w:r w:rsidR="0054532A" w:rsidRPr="00607627">
        <w:rPr>
          <w:szCs w:val="24"/>
          <w:lang w:val="en-US"/>
        </w:rPr>
        <w:t xml:space="preserve"> </w:t>
      </w:r>
      <w:r w:rsidR="00530F76" w:rsidRPr="00607627">
        <w:rPr>
          <w:szCs w:val="24"/>
          <w:lang w:val="en-US"/>
        </w:rPr>
        <w:t>117</w:t>
      </w:r>
      <w:r w:rsidR="00545ABB">
        <w:rPr>
          <w:szCs w:val="24"/>
          <w:lang w:val="en-US"/>
        </w:rPr>
        <w:t>,</w:t>
      </w:r>
      <w:r w:rsidR="00530F76" w:rsidRPr="00607627">
        <w:rPr>
          <w:szCs w:val="24"/>
          <w:lang w:val="en-US"/>
        </w:rPr>
        <w:t>028</w:t>
      </w:r>
      <w:r w:rsidR="00246444" w:rsidRPr="00607627">
        <w:rPr>
          <w:szCs w:val="24"/>
          <w:lang w:val="en-US"/>
        </w:rPr>
        <w:t xml:space="preserve"> (201</w:t>
      </w:r>
      <w:r w:rsidR="003421BA" w:rsidRPr="00607627">
        <w:rPr>
          <w:szCs w:val="24"/>
          <w:lang w:val="en-US"/>
        </w:rPr>
        <w:t>7</w:t>
      </w:r>
      <w:r w:rsidR="000719FD" w:rsidRPr="00607627">
        <w:rPr>
          <w:szCs w:val="24"/>
          <w:lang w:val="en-US"/>
        </w:rPr>
        <w:t xml:space="preserve">: </w:t>
      </w:r>
      <w:r w:rsidR="003421BA" w:rsidRPr="00607627">
        <w:rPr>
          <w:szCs w:val="24"/>
          <w:lang w:val="en-US"/>
        </w:rPr>
        <w:t>125</w:t>
      </w:r>
      <w:r w:rsidR="00545ABB">
        <w:rPr>
          <w:szCs w:val="24"/>
          <w:lang w:val="en-US"/>
        </w:rPr>
        <w:t>,</w:t>
      </w:r>
      <w:r w:rsidR="003421BA" w:rsidRPr="00607627">
        <w:rPr>
          <w:szCs w:val="24"/>
          <w:lang w:val="en-US"/>
        </w:rPr>
        <w:t>208</w:t>
      </w:r>
      <w:r w:rsidR="000719FD" w:rsidRPr="00607627">
        <w:rPr>
          <w:szCs w:val="24"/>
          <w:lang w:val="en-US"/>
        </w:rPr>
        <w:t>)</w:t>
      </w:r>
      <w:r w:rsidR="00530F76" w:rsidRPr="00607627">
        <w:rPr>
          <w:szCs w:val="24"/>
          <w:lang w:val="en-US"/>
        </w:rPr>
        <w:t xml:space="preserve"> </w:t>
      </w:r>
    </w:p>
    <w:p w:rsidR="000719FD" w:rsidRPr="00607627" w:rsidRDefault="000719FD" w:rsidP="00530F76">
      <w:pPr>
        <w:numPr>
          <w:ilvl w:val="0"/>
          <w:numId w:val="5"/>
        </w:numPr>
        <w:jc w:val="both"/>
        <w:rPr>
          <w:szCs w:val="24"/>
          <w:lang w:val="en-US"/>
        </w:rPr>
      </w:pPr>
      <w:r w:rsidRPr="00607627">
        <w:rPr>
          <w:szCs w:val="24"/>
          <w:lang w:val="en-US"/>
        </w:rPr>
        <w:t>Salzburg Museum in</w:t>
      </w:r>
      <w:r w:rsidR="00545ABB">
        <w:rPr>
          <w:szCs w:val="24"/>
          <w:lang w:val="en-US"/>
        </w:rPr>
        <w:t>c</w:t>
      </w:r>
      <w:r w:rsidRPr="00607627">
        <w:rPr>
          <w:szCs w:val="24"/>
          <w:lang w:val="en-US"/>
        </w:rPr>
        <w:t>l</w:t>
      </w:r>
      <w:r w:rsidR="00246444" w:rsidRPr="00607627">
        <w:rPr>
          <w:szCs w:val="24"/>
          <w:lang w:val="en-US"/>
        </w:rPr>
        <w:t xml:space="preserve">. Panorama Museum: </w:t>
      </w:r>
      <w:r w:rsidR="00174055" w:rsidRPr="00607627">
        <w:rPr>
          <w:szCs w:val="24"/>
          <w:lang w:val="en-US"/>
        </w:rPr>
        <w:t>112</w:t>
      </w:r>
      <w:r w:rsidR="00545ABB">
        <w:rPr>
          <w:szCs w:val="24"/>
          <w:lang w:val="en-US"/>
        </w:rPr>
        <w:t>,</w:t>
      </w:r>
      <w:r w:rsidR="00174055" w:rsidRPr="00607627">
        <w:rPr>
          <w:szCs w:val="24"/>
          <w:lang w:val="en-US"/>
        </w:rPr>
        <w:t>949</w:t>
      </w:r>
      <w:r w:rsidR="003421BA" w:rsidRPr="00607627">
        <w:rPr>
          <w:szCs w:val="24"/>
          <w:lang w:val="en-US"/>
        </w:rPr>
        <w:t xml:space="preserve"> (2017</w:t>
      </w:r>
      <w:r w:rsidRPr="00607627">
        <w:rPr>
          <w:szCs w:val="24"/>
          <w:lang w:val="en-US"/>
        </w:rPr>
        <w:t xml:space="preserve">: </w:t>
      </w:r>
      <w:r w:rsidR="003421BA" w:rsidRPr="00607627">
        <w:rPr>
          <w:szCs w:val="24"/>
          <w:lang w:val="en-US"/>
        </w:rPr>
        <w:t>99</w:t>
      </w:r>
      <w:r w:rsidR="00545ABB">
        <w:rPr>
          <w:szCs w:val="24"/>
          <w:lang w:val="en-US"/>
        </w:rPr>
        <w:t>,</w:t>
      </w:r>
      <w:r w:rsidR="003421BA" w:rsidRPr="00607627">
        <w:rPr>
          <w:szCs w:val="24"/>
          <w:lang w:val="en-US"/>
        </w:rPr>
        <w:t>732</w:t>
      </w:r>
      <w:r w:rsidRPr="00607627">
        <w:rPr>
          <w:szCs w:val="24"/>
          <w:lang w:val="en-US"/>
        </w:rPr>
        <w:t>)</w:t>
      </w:r>
    </w:p>
    <w:p w:rsidR="000719FD" w:rsidRPr="00C32FCC" w:rsidRDefault="000719FD" w:rsidP="003A1318">
      <w:pPr>
        <w:numPr>
          <w:ilvl w:val="0"/>
          <w:numId w:val="5"/>
        </w:numPr>
        <w:jc w:val="both"/>
        <w:rPr>
          <w:szCs w:val="24"/>
          <w:lang w:val="de-DE"/>
        </w:rPr>
      </w:pPr>
      <w:r w:rsidRPr="00C32FCC">
        <w:rPr>
          <w:szCs w:val="24"/>
          <w:lang w:val="de-DE"/>
        </w:rPr>
        <w:t>Museum der Moderne Mönchsberg/</w:t>
      </w:r>
      <w:proofErr w:type="spellStart"/>
      <w:r w:rsidRPr="00C32FCC">
        <w:rPr>
          <w:szCs w:val="24"/>
          <w:lang w:val="de-DE"/>
        </w:rPr>
        <w:t>Rupertinum</w:t>
      </w:r>
      <w:proofErr w:type="spellEnd"/>
      <w:r w:rsidRPr="00C32FCC">
        <w:rPr>
          <w:szCs w:val="24"/>
          <w:lang w:val="de-DE"/>
        </w:rPr>
        <w:t xml:space="preserve">: </w:t>
      </w:r>
      <w:r w:rsidR="002569A9" w:rsidRPr="00C32FCC">
        <w:rPr>
          <w:szCs w:val="24"/>
          <w:lang w:val="de-DE"/>
        </w:rPr>
        <w:t>115</w:t>
      </w:r>
      <w:r w:rsidR="00545ABB" w:rsidRPr="00C32FCC">
        <w:rPr>
          <w:szCs w:val="24"/>
          <w:lang w:val="de-DE"/>
        </w:rPr>
        <w:t>,</w:t>
      </w:r>
      <w:r w:rsidR="002569A9" w:rsidRPr="00C32FCC">
        <w:rPr>
          <w:szCs w:val="24"/>
          <w:lang w:val="de-DE"/>
        </w:rPr>
        <w:t>174</w:t>
      </w:r>
      <w:r w:rsidR="002569A9" w:rsidRPr="00C32FCC">
        <w:rPr>
          <w:rFonts w:ascii="Helvetica" w:hAnsi="Helvetica" w:cs="Helvetica"/>
          <w:sz w:val="20"/>
          <w:szCs w:val="20"/>
          <w:lang w:val="de-DE"/>
        </w:rPr>
        <w:t xml:space="preserve"> </w:t>
      </w:r>
      <w:r w:rsidRPr="00C32FCC">
        <w:rPr>
          <w:szCs w:val="24"/>
          <w:lang w:val="de-DE"/>
        </w:rPr>
        <w:t>(201</w:t>
      </w:r>
      <w:r w:rsidR="003421BA" w:rsidRPr="00C32FCC">
        <w:rPr>
          <w:szCs w:val="24"/>
          <w:lang w:val="de-DE"/>
        </w:rPr>
        <w:t>7</w:t>
      </w:r>
      <w:r w:rsidRPr="00C32FCC">
        <w:rPr>
          <w:szCs w:val="24"/>
          <w:lang w:val="de-DE"/>
        </w:rPr>
        <w:t xml:space="preserve">: </w:t>
      </w:r>
      <w:r w:rsidR="00246444" w:rsidRPr="00C32FCC">
        <w:rPr>
          <w:szCs w:val="24"/>
          <w:lang w:val="de-DE"/>
        </w:rPr>
        <w:t>104</w:t>
      </w:r>
      <w:r w:rsidR="00545ABB" w:rsidRPr="00C32FCC">
        <w:rPr>
          <w:szCs w:val="24"/>
          <w:lang w:val="de-DE"/>
        </w:rPr>
        <w:t>,</w:t>
      </w:r>
      <w:r w:rsidR="00246444" w:rsidRPr="00C32FCC">
        <w:rPr>
          <w:szCs w:val="24"/>
          <w:lang w:val="de-DE"/>
        </w:rPr>
        <w:t>000</w:t>
      </w:r>
      <w:r w:rsidRPr="00C32FCC">
        <w:rPr>
          <w:szCs w:val="24"/>
          <w:lang w:val="de-DE"/>
        </w:rPr>
        <w:t>)</w:t>
      </w:r>
    </w:p>
    <w:p w:rsidR="000719FD" w:rsidRPr="00607627" w:rsidRDefault="005204DF" w:rsidP="003A1318">
      <w:pPr>
        <w:numPr>
          <w:ilvl w:val="0"/>
          <w:numId w:val="5"/>
        </w:numPr>
        <w:jc w:val="both"/>
        <w:rPr>
          <w:szCs w:val="24"/>
          <w:lang w:val="en-US"/>
        </w:rPr>
      </w:pPr>
      <w:proofErr w:type="spellStart"/>
      <w:r w:rsidRPr="00607627">
        <w:rPr>
          <w:szCs w:val="24"/>
          <w:lang w:val="en-US"/>
        </w:rPr>
        <w:t>Stiegl-</w:t>
      </w:r>
      <w:r w:rsidR="00246444" w:rsidRPr="00607627">
        <w:rPr>
          <w:szCs w:val="24"/>
          <w:lang w:val="en-US"/>
        </w:rPr>
        <w:t>Brauwelt</w:t>
      </w:r>
      <w:proofErr w:type="spellEnd"/>
      <w:r w:rsidR="00246444" w:rsidRPr="00607627">
        <w:rPr>
          <w:szCs w:val="24"/>
          <w:lang w:val="en-US"/>
        </w:rPr>
        <w:t xml:space="preserve">: </w:t>
      </w:r>
      <w:r w:rsidR="001F11A0" w:rsidRPr="00607627">
        <w:rPr>
          <w:szCs w:val="24"/>
          <w:lang w:val="en-US"/>
        </w:rPr>
        <w:t>78</w:t>
      </w:r>
      <w:r w:rsidR="00545ABB">
        <w:rPr>
          <w:szCs w:val="24"/>
          <w:lang w:val="en-US"/>
        </w:rPr>
        <w:t>,</w:t>
      </w:r>
      <w:r w:rsidR="001F598D" w:rsidRPr="00607627">
        <w:rPr>
          <w:szCs w:val="24"/>
          <w:lang w:val="en-US"/>
        </w:rPr>
        <w:t>600</w:t>
      </w:r>
      <w:r w:rsidR="001F11A0" w:rsidRPr="00607627">
        <w:rPr>
          <w:color w:val="000000"/>
          <w:sz w:val="20"/>
          <w:szCs w:val="20"/>
          <w:lang w:val="en-US"/>
        </w:rPr>
        <w:t xml:space="preserve"> </w:t>
      </w:r>
      <w:r w:rsidR="00246444" w:rsidRPr="00607627">
        <w:rPr>
          <w:szCs w:val="24"/>
          <w:lang w:val="en-US"/>
        </w:rPr>
        <w:t>(201</w:t>
      </w:r>
      <w:r w:rsidR="003421BA" w:rsidRPr="00607627">
        <w:rPr>
          <w:szCs w:val="24"/>
          <w:lang w:val="en-US"/>
        </w:rPr>
        <w:t>7</w:t>
      </w:r>
      <w:r w:rsidR="000719FD" w:rsidRPr="00607627">
        <w:rPr>
          <w:szCs w:val="24"/>
          <w:lang w:val="en-US"/>
        </w:rPr>
        <w:t xml:space="preserve">: </w:t>
      </w:r>
      <w:r w:rsidR="003421BA" w:rsidRPr="00607627">
        <w:rPr>
          <w:szCs w:val="24"/>
          <w:lang w:val="en-US"/>
        </w:rPr>
        <w:t>78</w:t>
      </w:r>
      <w:r w:rsidR="00545ABB">
        <w:rPr>
          <w:szCs w:val="24"/>
          <w:lang w:val="en-US"/>
        </w:rPr>
        <w:t>,</w:t>
      </w:r>
      <w:r w:rsidR="003421BA" w:rsidRPr="00607627">
        <w:rPr>
          <w:szCs w:val="24"/>
          <w:lang w:val="en-US"/>
        </w:rPr>
        <w:t>579</w:t>
      </w:r>
      <w:r w:rsidR="000719FD" w:rsidRPr="00607627">
        <w:rPr>
          <w:szCs w:val="24"/>
          <w:lang w:val="en-US"/>
        </w:rPr>
        <w:t xml:space="preserve">) </w:t>
      </w:r>
    </w:p>
    <w:p w:rsidR="000719FD" w:rsidRPr="00607627" w:rsidRDefault="00545ABB" w:rsidP="003A1318">
      <w:pPr>
        <w:numPr>
          <w:ilvl w:val="0"/>
          <w:numId w:val="5"/>
        </w:numPr>
        <w:jc w:val="both"/>
        <w:rPr>
          <w:szCs w:val="24"/>
          <w:lang w:val="en-US"/>
        </w:rPr>
      </w:pPr>
      <w:r>
        <w:rPr>
          <w:szCs w:val="24"/>
          <w:lang w:val="en-US"/>
        </w:rPr>
        <w:t xml:space="preserve">Toy </w:t>
      </w:r>
      <w:r w:rsidR="005204DF" w:rsidRPr="00607627">
        <w:rPr>
          <w:szCs w:val="24"/>
          <w:lang w:val="en-US"/>
        </w:rPr>
        <w:t>M</w:t>
      </w:r>
      <w:r w:rsidR="000719FD" w:rsidRPr="00607627">
        <w:rPr>
          <w:szCs w:val="24"/>
          <w:lang w:val="en-US"/>
        </w:rPr>
        <w:t xml:space="preserve">useum: </w:t>
      </w:r>
      <w:r w:rsidR="00174055" w:rsidRPr="00607627">
        <w:rPr>
          <w:rFonts w:ascii="Helvetica" w:hAnsi="Helvetica" w:cs="Helvetica"/>
          <w:lang w:val="en-US"/>
        </w:rPr>
        <w:t>77</w:t>
      </w:r>
      <w:r>
        <w:rPr>
          <w:rFonts w:ascii="Helvetica" w:hAnsi="Helvetica" w:cs="Helvetica"/>
          <w:lang w:val="en-US"/>
        </w:rPr>
        <w:t>,</w:t>
      </w:r>
      <w:r w:rsidR="00174055" w:rsidRPr="00607627">
        <w:rPr>
          <w:rFonts w:ascii="Helvetica" w:hAnsi="Helvetica" w:cs="Helvetica"/>
          <w:lang w:val="en-US"/>
        </w:rPr>
        <w:t>342</w:t>
      </w:r>
      <w:r w:rsidR="00246444" w:rsidRPr="00607627">
        <w:rPr>
          <w:rFonts w:ascii="Helvetica" w:hAnsi="Helvetica" w:cs="Helvetica"/>
          <w:lang w:val="en-US"/>
        </w:rPr>
        <w:t xml:space="preserve"> (201</w:t>
      </w:r>
      <w:r w:rsidR="003421BA" w:rsidRPr="00607627">
        <w:rPr>
          <w:rFonts w:ascii="Helvetica" w:hAnsi="Helvetica" w:cs="Helvetica"/>
          <w:lang w:val="en-US"/>
        </w:rPr>
        <w:t>7</w:t>
      </w:r>
      <w:r w:rsidR="000719FD" w:rsidRPr="00607627">
        <w:rPr>
          <w:rFonts w:ascii="Helvetica" w:hAnsi="Helvetica" w:cs="Helvetica"/>
          <w:lang w:val="en-US"/>
        </w:rPr>
        <w:t xml:space="preserve">: </w:t>
      </w:r>
      <w:r w:rsidR="003421BA" w:rsidRPr="00607627">
        <w:rPr>
          <w:rFonts w:ascii="Helvetica" w:hAnsi="Helvetica" w:cs="Helvetica"/>
          <w:lang w:val="en-US"/>
        </w:rPr>
        <w:t>74</w:t>
      </w:r>
      <w:r>
        <w:rPr>
          <w:rFonts w:ascii="Helvetica" w:hAnsi="Helvetica" w:cs="Helvetica"/>
          <w:lang w:val="en-US"/>
        </w:rPr>
        <w:t>,</w:t>
      </w:r>
      <w:r w:rsidR="003421BA" w:rsidRPr="00607627">
        <w:rPr>
          <w:rFonts w:ascii="Helvetica" w:hAnsi="Helvetica" w:cs="Helvetica"/>
          <w:lang w:val="en-US"/>
        </w:rPr>
        <w:t>528</w:t>
      </w:r>
      <w:r w:rsidR="000719FD" w:rsidRPr="00607627">
        <w:rPr>
          <w:szCs w:val="24"/>
          <w:lang w:val="en-US"/>
        </w:rPr>
        <w:t>)</w:t>
      </w:r>
    </w:p>
    <w:p w:rsidR="000719FD" w:rsidRPr="00607627" w:rsidRDefault="00545ABB" w:rsidP="003A1318">
      <w:pPr>
        <w:numPr>
          <w:ilvl w:val="0"/>
          <w:numId w:val="5"/>
        </w:numPr>
        <w:jc w:val="both"/>
        <w:rPr>
          <w:szCs w:val="24"/>
          <w:lang w:val="en-US"/>
        </w:rPr>
      </w:pPr>
      <w:r>
        <w:rPr>
          <w:szCs w:val="24"/>
          <w:lang w:val="en-US"/>
        </w:rPr>
        <w:t xml:space="preserve">Folklore </w:t>
      </w:r>
      <w:r w:rsidR="005204DF" w:rsidRPr="00607627">
        <w:rPr>
          <w:szCs w:val="24"/>
          <w:lang w:val="en-US"/>
        </w:rPr>
        <w:t>M</w:t>
      </w:r>
      <w:r w:rsidR="000719FD" w:rsidRPr="00607627">
        <w:rPr>
          <w:szCs w:val="24"/>
          <w:lang w:val="en-US"/>
        </w:rPr>
        <w:t xml:space="preserve">useum: </w:t>
      </w:r>
      <w:r w:rsidR="00174055" w:rsidRPr="00607627">
        <w:rPr>
          <w:rFonts w:ascii="Helvetica" w:hAnsi="Helvetica" w:cs="Helvetica"/>
          <w:lang w:val="en-US"/>
        </w:rPr>
        <w:t>16</w:t>
      </w:r>
      <w:r>
        <w:rPr>
          <w:rFonts w:ascii="Helvetica" w:hAnsi="Helvetica" w:cs="Helvetica"/>
          <w:lang w:val="en-US"/>
        </w:rPr>
        <w:t>,</w:t>
      </w:r>
      <w:r w:rsidR="00174055" w:rsidRPr="00607627">
        <w:rPr>
          <w:rFonts w:ascii="Helvetica" w:hAnsi="Helvetica" w:cs="Helvetica"/>
          <w:lang w:val="en-US"/>
        </w:rPr>
        <w:t>859</w:t>
      </w:r>
      <w:r w:rsidR="000719FD" w:rsidRPr="00607627">
        <w:rPr>
          <w:rFonts w:ascii="Helvetica" w:hAnsi="Helvetica" w:cs="Helvetica"/>
          <w:lang w:val="en-US"/>
        </w:rPr>
        <w:t xml:space="preserve"> (201</w:t>
      </w:r>
      <w:r w:rsidR="003421BA" w:rsidRPr="00607627">
        <w:rPr>
          <w:rFonts w:ascii="Helvetica" w:hAnsi="Helvetica" w:cs="Helvetica"/>
          <w:lang w:val="en-US"/>
        </w:rPr>
        <w:t>7</w:t>
      </w:r>
      <w:r w:rsidR="000719FD" w:rsidRPr="00607627">
        <w:rPr>
          <w:rFonts w:ascii="Helvetica" w:hAnsi="Helvetica" w:cs="Helvetica"/>
          <w:lang w:val="en-US"/>
        </w:rPr>
        <w:t xml:space="preserve">: </w:t>
      </w:r>
      <w:r w:rsidR="003421BA" w:rsidRPr="00607627">
        <w:rPr>
          <w:rFonts w:ascii="Helvetica" w:hAnsi="Helvetica" w:cs="Helvetica"/>
          <w:lang w:val="en-US"/>
        </w:rPr>
        <w:t>15</w:t>
      </w:r>
      <w:r>
        <w:rPr>
          <w:rFonts w:ascii="Helvetica" w:hAnsi="Helvetica" w:cs="Helvetica"/>
          <w:lang w:val="en-US"/>
        </w:rPr>
        <w:t>,</w:t>
      </w:r>
      <w:r w:rsidR="003421BA" w:rsidRPr="00607627">
        <w:rPr>
          <w:rFonts w:ascii="Helvetica" w:hAnsi="Helvetica" w:cs="Helvetica"/>
          <w:lang w:val="en-US"/>
        </w:rPr>
        <w:t>550</w:t>
      </w:r>
      <w:r w:rsidR="000719FD" w:rsidRPr="00607627">
        <w:rPr>
          <w:szCs w:val="24"/>
          <w:lang w:val="en-US"/>
        </w:rPr>
        <w:t xml:space="preserve">) </w:t>
      </w:r>
    </w:p>
    <w:p w:rsidR="00F775FE" w:rsidRPr="00607627" w:rsidRDefault="00F775FE" w:rsidP="00F775FE">
      <w:pPr>
        <w:ind w:left="720"/>
        <w:jc w:val="both"/>
        <w:rPr>
          <w:szCs w:val="24"/>
          <w:lang w:val="en-US"/>
        </w:rPr>
      </w:pPr>
    </w:p>
    <w:p w:rsidR="000719FD" w:rsidRPr="00607627" w:rsidRDefault="00545ABB" w:rsidP="003A1318">
      <w:pPr>
        <w:jc w:val="both"/>
        <w:outlineLvl w:val="0"/>
        <w:rPr>
          <w:b/>
          <w:lang w:val="en-US"/>
        </w:rPr>
      </w:pPr>
      <w:r>
        <w:rPr>
          <w:b/>
          <w:lang w:val="en-US"/>
        </w:rPr>
        <w:t xml:space="preserve">Gastronomy </w:t>
      </w:r>
    </w:p>
    <w:p w:rsidR="000719FD" w:rsidRPr="00607627" w:rsidRDefault="008E5903" w:rsidP="003A1318">
      <w:pPr>
        <w:jc w:val="both"/>
        <w:outlineLvl w:val="0"/>
        <w:rPr>
          <w:lang w:val="en-US"/>
        </w:rPr>
      </w:pPr>
      <w:r w:rsidRPr="00607627">
        <w:rPr>
          <w:lang w:val="en-US"/>
        </w:rPr>
        <w:t xml:space="preserve">Salzburg </w:t>
      </w:r>
      <w:r w:rsidR="00545ABB">
        <w:rPr>
          <w:lang w:val="en-US"/>
        </w:rPr>
        <w:t>boasts over 1000 gastronomic establishments, including 174 cafés and café-restaurants</w:t>
      </w:r>
      <w:r w:rsidR="000719FD" w:rsidRPr="00607627">
        <w:rPr>
          <w:lang w:val="en-US"/>
        </w:rPr>
        <w:t xml:space="preserve">, </w:t>
      </w:r>
      <w:r w:rsidR="004E68B8" w:rsidRPr="00607627">
        <w:rPr>
          <w:lang w:val="en-US"/>
        </w:rPr>
        <w:t>5</w:t>
      </w:r>
      <w:r w:rsidR="00F314B3" w:rsidRPr="00607627">
        <w:rPr>
          <w:lang w:val="en-US"/>
        </w:rPr>
        <w:t>2</w:t>
      </w:r>
      <w:r w:rsidR="000719FD" w:rsidRPr="00607627">
        <w:rPr>
          <w:lang w:val="en-US"/>
        </w:rPr>
        <w:t xml:space="preserve"> </w:t>
      </w:r>
      <w:r w:rsidR="00545ABB">
        <w:rPr>
          <w:lang w:val="en-US"/>
        </w:rPr>
        <w:t>inns</w:t>
      </w:r>
      <w:r w:rsidR="000719FD" w:rsidRPr="00607627">
        <w:rPr>
          <w:lang w:val="en-US"/>
        </w:rPr>
        <w:t xml:space="preserve">, </w:t>
      </w:r>
      <w:r w:rsidR="004E68B8" w:rsidRPr="00607627">
        <w:rPr>
          <w:lang w:val="en-US"/>
        </w:rPr>
        <w:t>218</w:t>
      </w:r>
      <w:r w:rsidR="00545ABB">
        <w:rPr>
          <w:lang w:val="en-US"/>
        </w:rPr>
        <w:t xml:space="preserve"> restaurants, along with 110 bars and nightclubs</w:t>
      </w:r>
      <w:r w:rsidR="000719FD" w:rsidRPr="00607627">
        <w:rPr>
          <w:lang w:val="en-US"/>
        </w:rPr>
        <w:t xml:space="preserve">. </w:t>
      </w:r>
      <w:r w:rsidR="0056057B" w:rsidRPr="00607627">
        <w:rPr>
          <w:lang w:val="en-US"/>
        </w:rPr>
        <w:t>30</w:t>
      </w:r>
      <w:r w:rsidR="000719FD" w:rsidRPr="00607627">
        <w:rPr>
          <w:lang w:val="en-US"/>
        </w:rPr>
        <w:t xml:space="preserve"> </w:t>
      </w:r>
      <w:r w:rsidR="00545ABB">
        <w:rPr>
          <w:lang w:val="en-US"/>
        </w:rPr>
        <w:t xml:space="preserve">restaurants either in the city or in surrounding communities were rated by the renowned </w:t>
      </w:r>
      <w:r w:rsidR="000719FD" w:rsidRPr="00607627">
        <w:rPr>
          <w:lang w:val="en-US"/>
        </w:rPr>
        <w:t>Gault Mil</w:t>
      </w:r>
      <w:r w:rsidRPr="00607627">
        <w:rPr>
          <w:lang w:val="en-US"/>
        </w:rPr>
        <w:t xml:space="preserve">lau </w:t>
      </w:r>
      <w:r w:rsidR="00545ABB">
        <w:rPr>
          <w:lang w:val="en-US"/>
        </w:rPr>
        <w:t xml:space="preserve">restaurant guide in 2018 </w:t>
      </w:r>
      <w:r w:rsidRPr="00607627">
        <w:rPr>
          <w:lang w:val="en-US"/>
        </w:rPr>
        <w:t>(</w:t>
      </w:r>
      <w:r w:rsidR="00545ABB">
        <w:rPr>
          <w:lang w:val="en-US"/>
        </w:rPr>
        <w:t xml:space="preserve">4 restaurants received 3 toques, 8 received 2 toques and 17 </w:t>
      </w:r>
      <w:r w:rsidR="000818DC">
        <w:rPr>
          <w:lang w:val="en-US"/>
        </w:rPr>
        <w:t>were awarded</w:t>
      </w:r>
      <w:r w:rsidR="00545ABB">
        <w:rPr>
          <w:lang w:val="en-US"/>
        </w:rPr>
        <w:t xml:space="preserve"> one</w:t>
      </w:r>
      <w:r w:rsidR="000719FD" w:rsidRPr="00607627">
        <w:rPr>
          <w:lang w:val="en-US"/>
        </w:rPr>
        <w:t>). Guide Michelin</w:t>
      </w:r>
      <w:r w:rsidR="0095445B">
        <w:rPr>
          <w:lang w:val="en-US"/>
        </w:rPr>
        <w:t xml:space="preserve"> has given 2 restaurants in Salzburg City a 2-star rating, while 3 restaurants have each received one star</w:t>
      </w:r>
      <w:r w:rsidR="000719FD" w:rsidRPr="00607627">
        <w:rPr>
          <w:lang w:val="en-US"/>
        </w:rPr>
        <w:t>.</w:t>
      </w:r>
    </w:p>
    <w:p w:rsidR="000719FD" w:rsidRPr="00607627" w:rsidRDefault="000719FD" w:rsidP="003A1318">
      <w:pPr>
        <w:jc w:val="both"/>
        <w:outlineLvl w:val="0"/>
        <w:rPr>
          <w:b/>
          <w:lang w:val="en-US"/>
        </w:rPr>
      </w:pPr>
    </w:p>
    <w:p w:rsidR="000719FD" w:rsidRPr="00607627" w:rsidRDefault="0095445B" w:rsidP="003A1318">
      <w:pPr>
        <w:jc w:val="both"/>
        <w:outlineLvl w:val="0"/>
        <w:rPr>
          <w:b/>
          <w:lang w:val="en-US"/>
        </w:rPr>
      </w:pPr>
      <w:r>
        <w:rPr>
          <w:b/>
          <w:lang w:val="en-US"/>
        </w:rPr>
        <w:t xml:space="preserve">Guided City Tours </w:t>
      </w:r>
    </w:p>
    <w:p w:rsidR="000719FD" w:rsidRPr="00607627" w:rsidRDefault="0095445B" w:rsidP="003A1318">
      <w:pPr>
        <w:jc w:val="both"/>
        <w:rPr>
          <w:lang w:val="en-US"/>
        </w:rPr>
      </w:pPr>
      <w:r>
        <w:rPr>
          <w:lang w:val="en-US"/>
        </w:rPr>
        <w:t xml:space="preserve">Over 150 certified city guides currently offer their services to tourists. Guided city tours are </w:t>
      </w:r>
      <w:r w:rsidR="009E7072">
        <w:rPr>
          <w:lang w:val="en-US"/>
        </w:rPr>
        <w:t>possible</w:t>
      </w:r>
      <w:r>
        <w:rPr>
          <w:lang w:val="en-US"/>
        </w:rPr>
        <w:t xml:space="preserve"> on foot, by bicycle, horse-drawn carriage as well as in minibuses. A standard tour takes roughly 2.5 hours. Separate tours are also offered on special themes, including architecture, Mozart, beer as well as folklore</w:t>
      </w:r>
      <w:r w:rsidR="006C285D" w:rsidRPr="00607627">
        <w:rPr>
          <w:lang w:val="en-US"/>
        </w:rPr>
        <w:t>.</w:t>
      </w:r>
    </w:p>
    <w:p w:rsidR="000719FD" w:rsidRPr="00607627" w:rsidRDefault="000719FD" w:rsidP="003A1318">
      <w:pPr>
        <w:jc w:val="both"/>
        <w:rPr>
          <w:b/>
          <w:bCs/>
          <w:lang w:val="en-US"/>
        </w:rPr>
      </w:pPr>
    </w:p>
    <w:p w:rsidR="000719FD" w:rsidRPr="00607627" w:rsidRDefault="00C510CC" w:rsidP="003A1318">
      <w:pPr>
        <w:jc w:val="both"/>
        <w:rPr>
          <w:b/>
          <w:bCs/>
          <w:lang w:val="en-US"/>
        </w:rPr>
      </w:pPr>
      <w:r w:rsidRPr="00607627">
        <w:rPr>
          <w:b/>
          <w:bCs/>
          <w:lang w:val="en-US"/>
        </w:rPr>
        <w:t>Salzburg Card</w:t>
      </w:r>
    </w:p>
    <w:p w:rsidR="00002A32" w:rsidRPr="00607627" w:rsidRDefault="0095445B" w:rsidP="003A1318">
      <w:pPr>
        <w:jc w:val="both"/>
        <w:rPr>
          <w:lang w:val="en-US"/>
        </w:rPr>
      </w:pPr>
      <w:r>
        <w:rPr>
          <w:lang w:val="en-US"/>
        </w:rPr>
        <w:t xml:space="preserve">This card offers visitors one-time free admission to all of the city’s sightseeing attractions and museums, also including travel on public transportation. Furthermore, it can be used to obtain numerous additional discounts throughout the city and Salzburg province. In 2018, </w:t>
      </w:r>
      <w:r w:rsidR="009346D1" w:rsidRPr="00607627">
        <w:rPr>
          <w:lang w:val="en-US"/>
        </w:rPr>
        <w:t>254</w:t>
      </w:r>
      <w:r>
        <w:rPr>
          <w:lang w:val="en-US"/>
        </w:rPr>
        <w:t>,</w:t>
      </w:r>
      <w:r w:rsidR="009346D1" w:rsidRPr="00607627">
        <w:rPr>
          <w:lang w:val="en-US"/>
        </w:rPr>
        <w:t>991</w:t>
      </w:r>
      <w:r w:rsidR="00002A32" w:rsidRPr="00607627">
        <w:rPr>
          <w:lang w:val="en-US"/>
        </w:rPr>
        <w:t xml:space="preserve"> (201</w:t>
      </w:r>
      <w:r w:rsidR="009346D1" w:rsidRPr="00607627">
        <w:rPr>
          <w:lang w:val="en-US"/>
        </w:rPr>
        <w:t>7</w:t>
      </w:r>
      <w:r w:rsidR="00002A32" w:rsidRPr="00607627">
        <w:rPr>
          <w:lang w:val="en-US"/>
        </w:rPr>
        <w:t xml:space="preserve">: </w:t>
      </w:r>
      <w:r w:rsidR="009346D1" w:rsidRPr="00607627">
        <w:rPr>
          <w:lang w:val="en-US"/>
        </w:rPr>
        <w:t>233</w:t>
      </w:r>
      <w:r>
        <w:rPr>
          <w:lang w:val="en-US"/>
        </w:rPr>
        <w:t>,</w:t>
      </w:r>
      <w:r w:rsidR="009346D1" w:rsidRPr="00607627">
        <w:rPr>
          <w:lang w:val="en-US"/>
        </w:rPr>
        <w:t>742</w:t>
      </w:r>
      <w:r w:rsidR="00002A32" w:rsidRPr="00607627">
        <w:rPr>
          <w:lang w:val="en-US"/>
        </w:rPr>
        <w:t>)</w:t>
      </w:r>
      <w:r>
        <w:rPr>
          <w:lang w:val="en-US"/>
        </w:rPr>
        <w:t xml:space="preserve"> cards were sold, which in turn generated 1,304,690 admissions</w:t>
      </w:r>
      <w:r w:rsidR="00002A32" w:rsidRPr="00607627">
        <w:rPr>
          <w:lang w:val="en-US"/>
        </w:rPr>
        <w:t xml:space="preserve">. </w:t>
      </w:r>
      <w:r>
        <w:rPr>
          <w:lang w:val="en-US"/>
        </w:rPr>
        <w:t xml:space="preserve">The resulting payout for museums and attractions was € 5.3 million </w:t>
      </w:r>
      <w:r w:rsidR="006F65FC" w:rsidRPr="00607627">
        <w:rPr>
          <w:lang w:val="en-US"/>
        </w:rPr>
        <w:t>(+12</w:t>
      </w:r>
      <w:r w:rsidR="00720732" w:rsidRPr="00607627">
        <w:rPr>
          <w:lang w:val="en-US"/>
        </w:rPr>
        <w:t>,</w:t>
      </w:r>
      <w:r w:rsidR="006F65FC" w:rsidRPr="00607627">
        <w:rPr>
          <w:lang w:val="en-US"/>
        </w:rPr>
        <w:t>5</w:t>
      </w:r>
      <w:r w:rsidR="00BE4CB6" w:rsidRPr="00607627">
        <w:rPr>
          <w:lang w:val="en-US"/>
        </w:rPr>
        <w:t xml:space="preserve"> </w:t>
      </w:r>
      <w:r w:rsidR="00650D52" w:rsidRPr="00607627">
        <w:rPr>
          <w:lang w:val="en-US"/>
        </w:rPr>
        <w:t>%).</w:t>
      </w:r>
    </w:p>
    <w:p w:rsidR="00650D52" w:rsidRPr="00607627" w:rsidRDefault="00650D52" w:rsidP="003A1318">
      <w:pPr>
        <w:jc w:val="both"/>
        <w:rPr>
          <w:lang w:val="en-US"/>
        </w:rPr>
      </w:pPr>
    </w:p>
    <w:p w:rsidR="000719FD" w:rsidRPr="00607627" w:rsidRDefault="00C510CC" w:rsidP="003A1318">
      <w:pPr>
        <w:jc w:val="both"/>
        <w:rPr>
          <w:lang w:val="en-US"/>
        </w:rPr>
      </w:pPr>
      <w:r w:rsidRPr="00607627">
        <w:rPr>
          <w:b/>
          <w:lang w:val="en-US"/>
        </w:rPr>
        <w:t>Salzburg Congress</w:t>
      </w:r>
      <w:r w:rsidR="006C285D" w:rsidRPr="00607627">
        <w:rPr>
          <w:b/>
          <w:lang w:val="en-US"/>
        </w:rPr>
        <w:t xml:space="preserve"> </w:t>
      </w:r>
      <w:r w:rsidR="0095445B">
        <w:rPr>
          <w:b/>
          <w:lang w:val="en-US"/>
        </w:rPr>
        <w:t>a</w:t>
      </w:r>
      <w:r w:rsidR="006C285D" w:rsidRPr="00607627">
        <w:rPr>
          <w:b/>
          <w:lang w:val="en-US"/>
        </w:rPr>
        <w:t>nd Messezentrum Salzburg</w:t>
      </w:r>
    </w:p>
    <w:p w:rsidR="000719FD" w:rsidRPr="00607627" w:rsidRDefault="0095445B" w:rsidP="003A1318">
      <w:pPr>
        <w:jc w:val="both"/>
        <w:rPr>
          <w:lang w:val="en-US"/>
        </w:rPr>
      </w:pPr>
      <w:r>
        <w:rPr>
          <w:lang w:val="en-US"/>
        </w:rPr>
        <w:t xml:space="preserve">In 2018, </w:t>
      </w:r>
      <w:r w:rsidR="003F3C71" w:rsidRPr="00607627">
        <w:rPr>
          <w:lang w:val="en-US"/>
        </w:rPr>
        <w:t>112 (2017</w:t>
      </w:r>
      <w:r w:rsidR="000719FD" w:rsidRPr="00607627">
        <w:rPr>
          <w:lang w:val="en-US"/>
        </w:rPr>
        <w:t>: 1</w:t>
      </w:r>
      <w:r w:rsidR="003F3C71" w:rsidRPr="00607627">
        <w:rPr>
          <w:lang w:val="en-US"/>
        </w:rPr>
        <w:t>03</w:t>
      </w:r>
      <w:r w:rsidR="000719FD" w:rsidRPr="00607627">
        <w:rPr>
          <w:lang w:val="en-US"/>
        </w:rPr>
        <w:t xml:space="preserve">) </w:t>
      </w:r>
      <w:r>
        <w:rPr>
          <w:lang w:val="en-US"/>
        </w:rPr>
        <w:t>events drawing around 98,000 visitors were hosted by</w:t>
      </w:r>
      <w:r w:rsidR="002973FA" w:rsidRPr="00607627">
        <w:rPr>
          <w:lang w:val="en-US"/>
        </w:rPr>
        <w:t xml:space="preserve"> Salzburg Congress.</w:t>
      </w:r>
      <w:r>
        <w:rPr>
          <w:lang w:val="en-US"/>
        </w:rPr>
        <w:t xml:space="preserve"> The average event duration in 2018 was 2.2 days </w:t>
      </w:r>
      <w:r w:rsidR="000719FD" w:rsidRPr="00607627">
        <w:rPr>
          <w:lang w:val="en-US"/>
        </w:rPr>
        <w:t xml:space="preserve">– </w:t>
      </w:r>
      <w:r>
        <w:rPr>
          <w:lang w:val="en-US"/>
        </w:rPr>
        <w:t>as compared to 1.7 days in 2017</w:t>
      </w:r>
      <w:r w:rsidR="002973FA" w:rsidRPr="00607627">
        <w:rPr>
          <w:lang w:val="en-US"/>
        </w:rPr>
        <w:t>.</w:t>
      </w:r>
      <w:r>
        <w:rPr>
          <w:lang w:val="en-US"/>
        </w:rPr>
        <w:t xml:space="preserve"> This led to the congress center being occupied on </w:t>
      </w:r>
      <w:r w:rsidR="00D33417" w:rsidRPr="00607627">
        <w:rPr>
          <w:lang w:val="en-US"/>
        </w:rPr>
        <w:t>254</w:t>
      </w:r>
      <w:r w:rsidR="002973FA" w:rsidRPr="00607627">
        <w:rPr>
          <w:lang w:val="en-US"/>
        </w:rPr>
        <w:t xml:space="preserve"> (20</w:t>
      </w:r>
      <w:r w:rsidR="00D33417" w:rsidRPr="00607627">
        <w:rPr>
          <w:lang w:val="en-US"/>
        </w:rPr>
        <w:t>17</w:t>
      </w:r>
      <w:r w:rsidR="000719FD" w:rsidRPr="00607627">
        <w:rPr>
          <w:lang w:val="en-US"/>
        </w:rPr>
        <w:t xml:space="preserve">: </w:t>
      </w:r>
      <w:r w:rsidR="002973FA" w:rsidRPr="00607627">
        <w:rPr>
          <w:lang w:val="en-US"/>
        </w:rPr>
        <w:t>2</w:t>
      </w:r>
      <w:r w:rsidR="00D33417" w:rsidRPr="00607627">
        <w:rPr>
          <w:lang w:val="en-US"/>
        </w:rPr>
        <w:t>13</w:t>
      </w:r>
      <w:r w:rsidR="000719FD" w:rsidRPr="00607627">
        <w:rPr>
          <w:lang w:val="en-US"/>
        </w:rPr>
        <w:t xml:space="preserve">) </w:t>
      </w:r>
      <w:r>
        <w:rPr>
          <w:lang w:val="en-US"/>
        </w:rPr>
        <w:t>days and generat</w:t>
      </w:r>
      <w:r w:rsidR="009E7072">
        <w:rPr>
          <w:lang w:val="en-US"/>
        </w:rPr>
        <w:t>ing</w:t>
      </w:r>
      <w:r>
        <w:rPr>
          <w:lang w:val="en-US"/>
        </w:rPr>
        <w:t xml:space="preserve"> 45,000 overnights for Salzburg lodging establishments</w:t>
      </w:r>
      <w:r w:rsidR="000719FD" w:rsidRPr="00607627">
        <w:rPr>
          <w:lang w:val="en-US"/>
        </w:rPr>
        <w:t>.</w:t>
      </w:r>
    </w:p>
    <w:p w:rsidR="000719FD" w:rsidRPr="00607627" w:rsidRDefault="00265375" w:rsidP="003A1318">
      <w:pPr>
        <w:jc w:val="both"/>
        <w:rPr>
          <w:lang w:val="en-US"/>
        </w:rPr>
      </w:pPr>
      <w:r>
        <w:rPr>
          <w:lang w:val="en-US"/>
        </w:rPr>
        <w:t xml:space="preserve">In the past year, </w:t>
      </w:r>
      <w:proofErr w:type="spellStart"/>
      <w:r w:rsidR="002C5F48" w:rsidRPr="00607627">
        <w:rPr>
          <w:lang w:val="en-US"/>
        </w:rPr>
        <w:t>Messezentrum</w:t>
      </w:r>
      <w:proofErr w:type="spellEnd"/>
      <w:r w:rsidR="002C5F48" w:rsidRPr="00607627">
        <w:rPr>
          <w:lang w:val="en-US"/>
        </w:rPr>
        <w:t xml:space="preserve"> Salzburg </w:t>
      </w:r>
      <w:r>
        <w:rPr>
          <w:lang w:val="en-US"/>
        </w:rPr>
        <w:t xml:space="preserve">and </w:t>
      </w:r>
      <w:proofErr w:type="spellStart"/>
      <w:r w:rsidR="002C5F48" w:rsidRPr="00607627">
        <w:rPr>
          <w:lang w:val="en-US"/>
        </w:rPr>
        <w:t>Salzburgarena</w:t>
      </w:r>
      <w:proofErr w:type="spellEnd"/>
      <w:r w:rsidR="002C5F48" w:rsidRPr="00607627">
        <w:rPr>
          <w:lang w:val="en-US"/>
        </w:rPr>
        <w:t xml:space="preserve"> </w:t>
      </w:r>
      <w:r>
        <w:rPr>
          <w:lang w:val="en-US"/>
        </w:rPr>
        <w:t>hosted 83 different events attended by around 650,000 visitors</w:t>
      </w:r>
      <w:r w:rsidR="000719FD" w:rsidRPr="00607627">
        <w:rPr>
          <w:lang w:val="en-US"/>
        </w:rPr>
        <w:t xml:space="preserve">. </w:t>
      </w:r>
    </w:p>
    <w:p w:rsidR="00354A2D" w:rsidRPr="00607627" w:rsidRDefault="00354A2D" w:rsidP="003A1318">
      <w:pPr>
        <w:jc w:val="both"/>
        <w:rPr>
          <w:lang w:val="en-US"/>
        </w:rPr>
      </w:pPr>
    </w:p>
    <w:p w:rsidR="000719FD" w:rsidRPr="00607627" w:rsidRDefault="000719FD" w:rsidP="003A1318">
      <w:pPr>
        <w:jc w:val="both"/>
        <w:rPr>
          <w:b/>
          <w:bCs/>
          <w:lang w:val="en-US"/>
        </w:rPr>
      </w:pPr>
      <w:r w:rsidRPr="00607627">
        <w:rPr>
          <w:b/>
          <w:bCs/>
          <w:lang w:val="en-US"/>
        </w:rPr>
        <w:t>Salzburg W.</w:t>
      </w:r>
      <w:r w:rsidR="009378BD" w:rsidRPr="00607627">
        <w:rPr>
          <w:b/>
          <w:bCs/>
          <w:lang w:val="en-US"/>
        </w:rPr>
        <w:t xml:space="preserve"> </w:t>
      </w:r>
      <w:r w:rsidRPr="00607627">
        <w:rPr>
          <w:b/>
          <w:bCs/>
          <w:lang w:val="en-US"/>
        </w:rPr>
        <w:t>A. Mozart</w:t>
      </w:r>
      <w:r w:rsidR="00265375">
        <w:rPr>
          <w:b/>
          <w:bCs/>
          <w:lang w:val="en-US"/>
        </w:rPr>
        <w:t xml:space="preserve"> Airport</w:t>
      </w:r>
    </w:p>
    <w:p w:rsidR="000719FD" w:rsidRPr="00607627" w:rsidRDefault="00265375" w:rsidP="003A1318">
      <w:pPr>
        <w:jc w:val="both"/>
        <w:rPr>
          <w:bCs/>
          <w:lang w:val="en-US"/>
        </w:rPr>
      </w:pPr>
      <w:r>
        <w:rPr>
          <w:bCs/>
          <w:lang w:val="en-US"/>
        </w:rPr>
        <w:t xml:space="preserve">In 2018, 1,844,362 </w:t>
      </w:r>
      <w:r w:rsidR="000B0D44" w:rsidRPr="00607627">
        <w:rPr>
          <w:bCs/>
          <w:lang w:val="en-US"/>
        </w:rPr>
        <w:t>(201</w:t>
      </w:r>
      <w:r w:rsidR="00113069" w:rsidRPr="00607627">
        <w:rPr>
          <w:bCs/>
          <w:lang w:val="en-US"/>
        </w:rPr>
        <w:t>7</w:t>
      </w:r>
      <w:r w:rsidR="000B0D44" w:rsidRPr="00607627">
        <w:rPr>
          <w:bCs/>
          <w:lang w:val="en-US"/>
        </w:rPr>
        <w:t xml:space="preserve">: </w:t>
      </w:r>
      <w:r>
        <w:rPr>
          <w:bCs/>
          <w:lang w:val="en-US"/>
        </w:rPr>
        <w:t>1,890,164</w:t>
      </w:r>
      <w:r w:rsidR="000719FD" w:rsidRPr="00607627">
        <w:rPr>
          <w:bCs/>
          <w:lang w:val="en-US"/>
        </w:rPr>
        <w:t>)</w:t>
      </w:r>
      <w:r>
        <w:rPr>
          <w:bCs/>
          <w:lang w:val="en-US"/>
        </w:rPr>
        <w:t xml:space="preserve"> passengers were processed </w:t>
      </w:r>
      <w:r w:rsidR="00113069" w:rsidRPr="00607627">
        <w:rPr>
          <w:bCs/>
          <w:lang w:val="en-US"/>
        </w:rPr>
        <w:t>(-2</w:t>
      </w:r>
      <w:r>
        <w:rPr>
          <w:bCs/>
          <w:lang w:val="en-US"/>
        </w:rPr>
        <w:t>.</w:t>
      </w:r>
      <w:r w:rsidR="00113069" w:rsidRPr="00607627">
        <w:rPr>
          <w:bCs/>
          <w:lang w:val="en-US"/>
        </w:rPr>
        <w:t xml:space="preserve">4 % </w:t>
      </w:r>
      <w:r>
        <w:rPr>
          <w:bCs/>
          <w:lang w:val="en-US"/>
        </w:rPr>
        <w:t>compared to the year prior</w:t>
      </w:r>
      <w:r w:rsidR="00113069" w:rsidRPr="00607627">
        <w:rPr>
          <w:bCs/>
          <w:lang w:val="en-US"/>
        </w:rPr>
        <w:t>).</w:t>
      </w:r>
      <w:r>
        <w:rPr>
          <w:bCs/>
          <w:lang w:val="en-US"/>
        </w:rPr>
        <w:t xml:space="preserve"> Public transportation recorded 1,461,883 passengers </w:t>
      </w:r>
      <w:r w:rsidR="00113069" w:rsidRPr="00607627">
        <w:rPr>
          <w:bCs/>
          <w:lang w:val="en-US"/>
        </w:rPr>
        <w:t>(-3</w:t>
      </w:r>
      <w:r>
        <w:rPr>
          <w:bCs/>
          <w:lang w:val="en-US"/>
        </w:rPr>
        <w:t>.</w:t>
      </w:r>
      <w:r w:rsidR="00113069" w:rsidRPr="00607627">
        <w:rPr>
          <w:bCs/>
          <w:lang w:val="en-US"/>
        </w:rPr>
        <w:t>6 %)</w:t>
      </w:r>
      <w:r w:rsidR="000719FD" w:rsidRPr="00607627">
        <w:rPr>
          <w:bCs/>
          <w:lang w:val="en-US"/>
        </w:rPr>
        <w:t>.</w:t>
      </w:r>
      <w:r w:rsidR="000B0D44" w:rsidRPr="00607627">
        <w:rPr>
          <w:bCs/>
          <w:lang w:val="en-US"/>
        </w:rPr>
        <w:t xml:space="preserve"> </w:t>
      </w:r>
      <w:r>
        <w:rPr>
          <w:bCs/>
          <w:lang w:val="en-US"/>
        </w:rPr>
        <w:t xml:space="preserve">The previous year logged 11,247,645 kg of airfreight </w:t>
      </w:r>
      <w:r w:rsidR="002C5F48" w:rsidRPr="00607627">
        <w:rPr>
          <w:bCs/>
          <w:lang w:val="en-US"/>
        </w:rPr>
        <w:t>(in</w:t>
      </w:r>
      <w:r>
        <w:rPr>
          <w:bCs/>
          <w:lang w:val="en-US"/>
        </w:rPr>
        <w:t>c</w:t>
      </w:r>
      <w:r w:rsidR="002C5F48" w:rsidRPr="00607627">
        <w:rPr>
          <w:bCs/>
          <w:lang w:val="en-US"/>
        </w:rPr>
        <w:t xml:space="preserve">l. </w:t>
      </w:r>
      <w:r>
        <w:rPr>
          <w:bCs/>
          <w:lang w:val="en-US"/>
        </w:rPr>
        <w:t>airfreight transport alternatives</w:t>
      </w:r>
      <w:r w:rsidR="002C5F48" w:rsidRPr="00607627">
        <w:rPr>
          <w:bCs/>
          <w:lang w:val="en-US"/>
        </w:rPr>
        <w:t>)</w:t>
      </w:r>
      <w:r w:rsidR="00A130F3" w:rsidRPr="00607627">
        <w:rPr>
          <w:bCs/>
          <w:lang w:val="en-US"/>
        </w:rPr>
        <w:t>.</w:t>
      </w:r>
    </w:p>
    <w:p w:rsidR="000719FD" w:rsidRPr="00607627" w:rsidRDefault="000719FD" w:rsidP="003A1318">
      <w:pPr>
        <w:jc w:val="both"/>
        <w:rPr>
          <w:lang w:val="en-US"/>
        </w:rPr>
      </w:pPr>
    </w:p>
    <w:p w:rsidR="000719FD" w:rsidRPr="00C32FCC" w:rsidRDefault="00265375" w:rsidP="003A1318">
      <w:pPr>
        <w:jc w:val="both"/>
        <w:rPr>
          <w:sz w:val="16"/>
          <w:szCs w:val="18"/>
          <w:lang w:val="en-US"/>
        </w:rPr>
      </w:pPr>
      <w:r w:rsidRPr="00C32FCC">
        <w:rPr>
          <w:sz w:val="16"/>
          <w:szCs w:val="18"/>
          <w:lang w:val="en-US"/>
        </w:rPr>
        <w:t>Status</w:t>
      </w:r>
      <w:r w:rsidR="002C5F48" w:rsidRPr="00C32FCC">
        <w:rPr>
          <w:sz w:val="16"/>
          <w:szCs w:val="18"/>
          <w:lang w:val="en-US"/>
        </w:rPr>
        <w:t xml:space="preserve">: </w:t>
      </w:r>
      <w:r w:rsidR="00A611A9" w:rsidRPr="00C32FCC">
        <w:rPr>
          <w:sz w:val="16"/>
          <w:szCs w:val="18"/>
          <w:lang w:val="en-US"/>
        </w:rPr>
        <w:t>19</w:t>
      </w:r>
      <w:r w:rsidRPr="00C32FCC">
        <w:rPr>
          <w:sz w:val="16"/>
          <w:szCs w:val="18"/>
          <w:lang w:val="en-US"/>
        </w:rPr>
        <w:t xml:space="preserve"> February</w:t>
      </w:r>
      <w:r w:rsidR="00F775FE" w:rsidRPr="00C32FCC">
        <w:rPr>
          <w:sz w:val="16"/>
          <w:szCs w:val="18"/>
          <w:lang w:val="en-US"/>
        </w:rPr>
        <w:t xml:space="preserve"> 2019</w:t>
      </w:r>
      <w:r w:rsidR="000719FD" w:rsidRPr="00C32FCC">
        <w:rPr>
          <w:i/>
          <w:sz w:val="16"/>
          <w:szCs w:val="18"/>
          <w:lang w:val="en-US"/>
        </w:rPr>
        <w:t xml:space="preserve"> </w:t>
      </w:r>
    </w:p>
    <w:p w:rsidR="000719FD" w:rsidRPr="00C32FCC" w:rsidRDefault="00265375" w:rsidP="003A1318">
      <w:pPr>
        <w:jc w:val="both"/>
        <w:rPr>
          <w:i/>
          <w:sz w:val="16"/>
          <w:szCs w:val="18"/>
          <w:lang w:val="en-US"/>
        </w:rPr>
      </w:pPr>
      <w:r w:rsidRPr="00C32FCC">
        <w:rPr>
          <w:i/>
          <w:sz w:val="16"/>
          <w:szCs w:val="18"/>
          <w:lang w:val="en-US"/>
        </w:rPr>
        <w:t>Source</w:t>
      </w:r>
      <w:r w:rsidR="000719FD" w:rsidRPr="00C32FCC">
        <w:rPr>
          <w:i/>
          <w:sz w:val="16"/>
          <w:szCs w:val="18"/>
          <w:lang w:val="en-US"/>
        </w:rPr>
        <w:t>: Salzburg</w:t>
      </w:r>
      <w:r w:rsidRPr="00C32FCC">
        <w:rPr>
          <w:i/>
          <w:sz w:val="16"/>
          <w:szCs w:val="18"/>
          <w:lang w:val="en-US"/>
        </w:rPr>
        <w:t xml:space="preserve"> municipal offices</w:t>
      </w:r>
      <w:r w:rsidR="000719FD" w:rsidRPr="00C32FCC">
        <w:rPr>
          <w:i/>
          <w:sz w:val="16"/>
          <w:szCs w:val="18"/>
          <w:lang w:val="en-US"/>
        </w:rPr>
        <w:t>:</w:t>
      </w:r>
      <w:r w:rsidRPr="00C32FCC">
        <w:rPr>
          <w:i/>
          <w:sz w:val="16"/>
          <w:szCs w:val="18"/>
          <w:lang w:val="en-US"/>
        </w:rPr>
        <w:t xml:space="preserve"> city archive and statistical office as well as our own sources</w:t>
      </w:r>
    </w:p>
    <w:p w:rsidR="000719FD" w:rsidRPr="00C32FCC" w:rsidRDefault="000719FD" w:rsidP="003A1318">
      <w:pPr>
        <w:jc w:val="both"/>
        <w:rPr>
          <w:i/>
          <w:sz w:val="16"/>
          <w:szCs w:val="18"/>
          <w:lang w:val="en-US"/>
        </w:rPr>
      </w:pPr>
    </w:p>
    <w:p w:rsidR="00D21C2A" w:rsidRPr="00C32FCC" w:rsidRDefault="00265375" w:rsidP="00265375">
      <w:pPr>
        <w:rPr>
          <w:b/>
          <w:sz w:val="16"/>
          <w:szCs w:val="18"/>
          <w:lang w:val="en-US"/>
        </w:rPr>
      </w:pPr>
      <w:r w:rsidRPr="00C32FCC">
        <w:rPr>
          <w:b/>
          <w:bCs/>
          <w:sz w:val="16"/>
          <w:szCs w:val="18"/>
          <w:lang w:val="en-US"/>
        </w:rPr>
        <w:t>Further Information</w:t>
      </w:r>
      <w:r w:rsidR="00D21C2A" w:rsidRPr="00C32FCC">
        <w:rPr>
          <w:b/>
          <w:bCs/>
          <w:sz w:val="16"/>
          <w:szCs w:val="18"/>
          <w:lang w:val="en-US"/>
        </w:rPr>
        <w:t xml:space="preserve">: </w:t>
      </w:r>
      <w:r w:rsidR="00D21C2A" w:rsidRPr="00C32FCC">
        <w:rPr>
          <w:b/>
          <w:bCs/>
          <w:sz w:val="16"/>
          <w:szCs w:val="18"/>
          <w:lang w:val="en-US"/>
        </w:rPr>
        <w:br/>
      </w:r>
      <w:r w:rsidR="00D21C2A" w:rsidRPr="00C32FCC">
        <w:rPr>
          <w:sz w:val="16"/>
          <w:szCs w:val="18"/>
          <w:lang w:val="en-US"/>
        </w:rPr>
        <w:t xml:space="preserve">Tourismus Salzburg, </w:t>
      </w:r>
      <w:proofErr w:type="spellStart"/>
      <w:r w:rsidR="00D21C2A" w:rsidRPr="00C32FCC">
        <w:rPr>
          <w:sz w:val="16"/>
          <w:szCs w:val="18"/>
          <w:lang w:val="en-US"/>
        </w:rPr>
        <w:t>Auerspergstra</w:t>
      </w:r>
      <w:r w:rsidRPr="00C32FCC">
        <w:rPr>
          <w:sz w:val="16"/>
          <w:szCs w:val="18"/>
          <w:lang w:val="en-US"/>
        </w:rPr>
        <w:t>ss</w:t>
      </w:r>
      <w:r w:rsidR="00D21C2A" w:rsidRPr="00C32FCC">
        <w:rPr>
          <w:sz w:val="16"/>
          <w:szCs w:val="18"/>
          <w:lang w:val="en-US"/>
        </w:rPr>
        <w:t>e</w:t>
      </w:r>
      <w:proofErr w:type="spellEnd"/>
      <w:r w:rsidR="00D21C2A" w:rsidRPr="00C32FCC">
        <w:rPr>
          <w:sz w:val="16"/>
          <w:szCs w:val="18"/>
          <w:lang w:val="en-US"/>
        </w:rPr>
        <w:t xml:space="preserve"> 6, 5020 Salzburg, Austria, </w:t>
      </w:r>
      <w:r w:rsidR="00D21C2A" w:rsidRPr="00C32FCC">
        <w:rPr>
          <w:sz w:val="16"/>
          <w:szCs w:val="18"/>
          <w:lang w:val="en-US"/>
        </w:rPr>
        <w:br/>
        <w:t xml:space="preserve">Tel.: +43/662/889 87 - 0, Fax: +43/662/889 87 - 32, </w:t>
      </w:r>
      <w:hyperlink r:id="rId9" w:history="1">
        <w:r w:rsidR="00D21C2A" w:rsidRPr="00C32FCC">
          <w:rPr>
            <w:rStyle w:val="Hyperlink"/>
            <w:color w:val="auto"/>
            <w:sz w:val="16"/>
            <w:szCs w:val="18"/>
            <w:lang w:val="en-US"/>
          </w:rPr>
          <w:t>www.salzburg.info</w:t>
        </w:r>
      </w:hyperlink>
      <w:r w:rsidR="00D21C2A" w:rsidRPr="00C32FCC">
        <w:rPr>
          <w:rStyle w:val="Hyperlink"/>
          <w:color w:val="auto"/>
          <w:sz w:val="16"/>
          <w:szCs w:val="18"/>
          <w:lang w:val="en-US"/>
        </w:rPr>
        <w:t xml:space="preserve">, </w:t>
      </w:r>
      <w:r w:rsidR="00D21C2A" w:rsidRPr="00C32FCC">
        <w:rPr>
          <w:sz w:val="16"/>
          <w:szCs w:val="18"/>
          <w:lang w:val="en-US"/>
        </w:rPr>
        <w:t>#</w:t>
      </w:r>
      <w:proofErr w:type="spellStart"/>
      <w:r w:rsidR="00D21C2A" w:rsidRPr="00C32FCC">
        <w:rPr>
          <w:sz w:val="16"/>
          <w:szCs w:val="18"/>
          <w:lang w:val="en-US"/>
        </w:rPr>
        <w:t>visitsalzburg</w:t>
      </w:r>
      <w:proofErr w:type="spellEnd"/>
      <w:r w:rsidR="00C32FCC">
        <w:rPr>
          <w:sz w:val="16"/>
          <w:szCs w:val="18"/>
          <w:lang w:val="en-US"/>
        </w:rPr>
        <w:t xml:space="preserve"> </w:t>
      </w:r>
      <w:r w:rsidR="00C32FCC" w:rsidRPr="00C32FCC">
        <w:rPr>
          <w:sz w:val="16"/>
          <w:szCs w:val="18"/>
          <w:lang w:val="en-US"/>
        </w:rPr>
        <w:br/>
      </w:r>
      <w:r w:rsidRPr="00C32FCC">
        <w:rPr>
          <w:b/>
          <w:sz w:val="16"/>
          <w:szCs w:val="18"/>
          <w:lang w:val="en-US"/>
        </w:rPr>
        <w:t>Press Contact</w:t>
      </w:r>
      <w:r w:rsidR="00D21C2A" w:rsidRPr="00C32FCC">
        <w:rPr>
          <w:b/>
          <w:sz w:val="16"/>
          <w:szCs w:val="18"/>
          <w:lang w:val="en-US"/>
        </w:rPr>
        <w:t xml:space="preserve">: </w:t>
      </w:r>
      <w:r w:rsidR="00D21C2A" w:rsidRPr="00C32FCC">
        <w:rPr>
          <w:b/>
          <w:sz w:val="16"/>
          <w:szCs w:val="18"/>
          <w:lang w:val="en-US"/>
        </w:rPr>
        <w:br/>
      </w:r>
      <w:r w:rsidR="00D21C2A" w:rsidRPr="00C32FCC">
        <w:rPr>
          <w:sz w:val="16"/>
          <w:szCs w:val="18"/>
          <w:lang w:val="en-US"/>
        </w:rPr>
        <w:t xml:space="preserve">Martina C. Trummer, Tel.: +43/662/889 87 – </w:t>
      </w:r>
      <w:r w:rsidR="002C3178">
        <w:rPr>
          <w:sz w:val="16"/>
          <w:szCs w:val="18"/>
          <w:lang w:val="en-US"/>
        </w:rPr>
        <w:t>325</w:t>
      </w:r>
      <w:bookmarkStart w:id="0" w:name="_GoBack"/>
      <w:bookmarkEnd w:id="0"/>
      <w:r w:rsidR="00D21C2A" w:rsidRPr="00C32FCC">
        <w:rPr>
          <w:sz w:val="16"/>
          <w:szCs w:val="18"/>
          <w:lang w:val="en-US"/>
        </w:rPr>
        <w:t xml:space="preserve">, </w:t>
      </w:r>
      <w:hyperlink r:id="rId10" w:history="1">
        <w:r w:rsidR="00D21C2A" w:rsidRPr="00C32FCC">
          <w:rPr>
            <w:rStyle w:val="Hyperlink"/>
            <w:color w:val="auto"/>
            <w:sz w:val="16"/>
            <w:szCs w:val="18"/>
            <w:lang w:val="en-US"/>
          </w:rPr>
          <w:t>presse@salzburg.info</w:t>
        </w:r>
      </w:hyperlink>
      <w:r w:rsidR="00D21C2A" w:rsidRPr="00C32FCC">
        <w:rPr>
          <w:sz w:val="16"/>
          <w:szCs w:val="18"/>
          <w:lang w:val="en-US"/>
        </w:rPr>
        <w:t xml:space="preserve">  </w:t>
      </w:r>
    </w:p>
    <w:sectPr w:rsidR="00D21C2A" w:rsidRPr="00C32FCC" w:rsidSect="00C32FCC">
      <w:headerReference w:type="default" r:id="rId11"/>
      <w:footerReference w:type="default" r:id="rId12"/>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492" w:rsidRDefault="00BF1492" w:rsidP="00790AA5">
      <w:r>
        <w:separator/>
      </w:r>
    </w:p>
  </w:endnote>
  <w:endnote w:type="continuationSeparator" w:id="0">
    <w:p w:rsidR="00BF1492" w:rsidRDefault="00BF1492"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45B" w:rsidRDefault="0095445B" w:rsidP="006B2844">
    <w:pPr>
      <w:pStyle w:val="Kopfzeile"/>
    </w:pPr>
  </w:p>
  <w:p w:rsidR="0095445B" w:rsidRDefault="002C3178" w:rsidP="006B2844">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style="position:absolute;margin-left:-17.7pt;margin-top:-46.75pt;width:500.25pt;height:65.25pt;z-index:-251659264;visibility:visible;mso-wrap-style:square;mso-wrap-distance-left:9pt;mso-wrap-distance-top:0;mso-wrap-distance-right:9pt;mso-wrap-distance-bottom:0;mso-position-horizontal:absolute;mso-position-horizontal-relative:text;mso-position-vertical:absolute;mso-position-vertical-relative:text" wrapcoords="-32 0 -32 21352 21600 21352 21600 0 -32 0">
          <v:imagedata r:id="rId1"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492" w:rsidRDefault="00BF1492" w:rsidP="00790AA5">
      <w:r>
        <w:separator/>
      </w:r>
    </w:p>
  </w:footnote>
  <w:footnote w:type="continuationSeparator" w:id="0">
    <w:p w:rsidR="00BF1492" w:rsidRDefault="00BF1492"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45B" w:rsidRDefault="002C3178">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76.8pt;margin-top:2.3pt;width:100.25pt;height:52.5pt;z-index:-251656192;mso-position-horizontal-relative:text;mso-position-vertical-relative:text;mso-width-relative:page;mso-height-relative:page" wrapcoords="-161 0 -161 21291 21600 21291 21600 0 -161 0">
          <v:imagedata r:id="rId1" o:title="Logo-TSG_eng"/>
          <w10:wrap type="tight"/>
        </v:shape>
      </w:pict>
    </w:r>
  </w:p>
  <w:p w:rsidR="0095445B" w:rsidRPr="00476685" w:rsidRDefault="0095445B" w:rsidP="005E6FEA">
    <w:pPr>
      <w:tabs>
        <w:tab w:val="left" w:pos="6804"/>
      </w:tabs>
      <w:rPr>
        <w:sz w:val="20"/>
        <w:szCs w:val="20"/>
      </w:rPr>
    </w:pPr>
    <w:r w:rsidRPr="00305D76">
      <w:rPr>
        <w:sz w:val="28"/>
        <w:szCs w:val="28"/>
      </w:rPr>
      <w:t>PRESS</w:t>
    </w:r>
    <w:r>
      <w:rPr>
        <w:sz w:val="28"/>
        <w:szCs w:val="28"/>
      </w:rPr>
      <w:t xml:space="preserve"> </w:t>
    </w:r>
    <w:r w:rsidRPr="00305D76">
      <w:rPr>
        <w:sz w:val="28"/>
        <w:szCs w:val="28"/>
      </w:rPr>
      <w:t xml:space="preserve">INFORMATION </w:t>
    </w:r>
  </w:p>
  <w:p w:rsidR="0095445B" w:rsidRDefault="009544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2844"/>
    <w:rsid w:val="00001868"/>
    <w:rsid w:val="00002A32"/>
    <w:rsid w:val="00003000"/>
    <w:rsid w:val="0000340A"/>
    <w:rsid w:val="0000560E"/>
    <w:rsid w:val="00014A5E"/>
    <w:rsid w:val="000225AF"/>
    <w:rsid w:val="0003372E"/>
    <w:rsid w:val="00033EB6"/>
    <w:rsid w:val="00036C81"/>
    <w:rsid w:val="0004106D"/>
    <w:rsid w:val="00044317"/>
    <w:rsid w:val="0006136A"/>
    <w:rsid w:val="0006625D"/>
    <w:rsid w:val="000719FD"/>
    <w:rsid w:val="00080ED9"/>
    <w:rsid w:val="000818DC"/>
    <w:rsid w:val="000A1430"/>
    <w:rsid w:val="000A3B35"/>
    <w:rsid w:val="000A47F0"/>
    <w:rsid w:val="000A6AEE"/>
    <w:rsid w:val="000B0D44"/>
    <w:rsid w:val="000B382F"/>
    <w:rsid w:val="000B55B0"/>
    <w:rsid w:val="000B74C8"/>
    <w:rsid w:val="000C0FC6"/>
    <w:rsid w:val="000C171D"/>
    <w:rsid w:val="000C53B0"/>
    <w:rsid w:val="000C67FB"/>
    <w:rsid w:val="000C760C"/>
    <w:rsid w:val="000E2AA8"/>
    <w:rsid w:val="000E2F83"/>
    <w:rsid w:val="000E38E0"/>
    <w:rsid w:val="000F17FD"/>
    <w:rsid w:val="000F5C5A"/>
    <w:rsid w:val="000F6B78"/>
    <w:rsid w:val="00103C2B"/>
    <w:rsid w:val="00113069"/>
    <w:rsid w:val="001141DA"/>
    <w:rsid w:val="0011446D"/>
    <w:rsid w:val="0012535A"/>
    <w:rsid w:val="001337C2"/>
    <w:rsid w:val="00140059"/>
    <w:rsid w:val="0015046E"/>
    <w:rsid w:val="00153384"/>
    <w:rsid w:val="001535A2"/>
    <w:rsid w:val="00155249"/>
    <w:rsid w:val="0016310C"/>
    <w:rsid w:val="00174055"/>
    <w:rsid w:val="00182913"/>
    <w:rsid w:val="00192130"/>
    <w:rsid w:val="0019264A"/>
    <w:rsid w:val="00197D63"/>
    <w:rsid w:val="001A159E"/>
    <w:rsid w:val="001A2EB8"/>
    <w:rsid w:val="001B76E3"/>
    <w:rsid w:val="001C03EE"/>
    <w:rsid w:val="001D0DAF"/>
    <w:rsid w:val="001D171C"/>
    <w:rsid w:val="001D4D3B"/>
    <w:rsid w:val="001E6B05"/>
    <w:rsid w:val="001F11A0"/>
    <w:rsid w:val="001F598D"/>
    <w:rsid w:val="00202FE7"/>
    <w:rsid w:val="002115A4"/>
    <w:rsid w:val="00216581"/>
    <w:rsid w:val="00217330"/>
    <w:rsid w:val="00220C1B"/>
    <w:rsid w:val="00222995"/>
    <w:rsid w:val="00236E0E"/>
    <w:rsid w:val="00236F66"/>
    <w:rsid w:val="00242487"/>
    <w:rsid w:val="00242E6A"/>
    <w:rsid w:val="002442AC"/>
    <w:rsid w:val="00246444"/>
    <w:rsid w:val="002569A9"/>
    <w:rsid w:val="00265375"/>
    <w:rsid w:val="00271CD0"/>
    <w:rsid w:val="00277F3B"/>
    <w:rsid w:val="00285227"/>
    <w:rsid w:val="002909C8"/>
    <w:rsid w:val="00293C0B"/>
    <w:rsid w:val="00294E7E"/>
    <w:rsid w:val="002973FA"/>
    <w:rsid w:val="002A684C"/>
    <w:rsid w:val="002A709B"/>
    <w:rsid w:val="002A7D2B"/>
    <w:rsid w:val="002B1D16"/>
    <w:rsid w:val="002B30CE"/>
    <w:rsid w:val="002B6E4F"/>
    <w:rsid w:val="002B6FB7"/>
    <w:rsid w:val="002C3008"/>
    <w:rsid w:val="002C3178"/>
    <w:rsid w:val="002C55FD"/>
    <w:rsid w:val="002C5F48"/>
    <w:rsid w:val="002D37BF"/>
    <w:rsid w:val="002D3C89"/>
    <w:rsid w:val="002E0FB6"/>
    <w:rsid w:val="002E1600"/>
    <w:rsid w:val="002E1CDF"/>
    <w:rsid w:val="002E6A12"/>
    <w:rsid w:val="003061ED"/>
    <w:rsid w:val="00306398"/>
    <w:rsid w:val="00306E06"/>
    <w:rsid w:val="00313807"/>
    <w:rsid w:val="00317DA3"/>
    <w:rsid w:val="003328EA"/>
    <w:rsid w:val="00333039"/>
    <w:rsid w:val="00333611"/>
    <w:rsid w:val="003418F0"/>
    <w:rsid w:val="003421BA"/>
    <w:rsid w:val="00352559"/>
    <w:rsid w:val="00354A2D"/>
    <w:rsid w:val="00356F08"/>
    <w:rsid w:val="00364443"/>
    <w:rsid w:val="00365EF1"/>
    <w:rsid w:val="003716AA"/>
    <w:rsid w:val="003731EE"/>
    <w:rsid w:val="0037393C"/>
    <w:rsid w:val="00374B5E"/>
    <w:rsid w:val="0037724E"/>
    <w:rsid w:val="003A1318"/>
    <w:rsid w:val="003A28D0"/>
    <w:rsid w:val="003A78DA"/>
    <w:rsid w:val="003B4CF9"/>
    <w:rsid w:val="003C287E"/>
    <w:rsid w:val="003C59D3"/>
    <w:rsid w:val="003C7048"/>
    <w:rsid w:val="003D6216"/>
    <w:rsid w:val="003D62A4"/>
    <w:rsid w:val="003D7701"/>
    <w:rsid w:val="003E3ADB"/>
    <w:rsid w:val="003E4FA9"/>
    <w:rsid w:val="003F3C71"/>
    <w:rsid w:val="00402797"/>
    <w:rsid w:val="00403644"/>
    <w:rsid w:val="00406D96"/>
    <w:rsid w:val="004108B5"/>
    <w:rsid w:val="004127AB"/>
    <w:rsid w:val="00414D5D"/>
    <w:rsid w:val="00416DEF"/>
    <w:rsid w:val="004252A3"/>
    <w:rsid w:val="00425B23"/>
    <w:rsid w:val="004433B5"/>
    <w:rsid w:val="00446572"/>
    <w:rsid w:val="00447A93"/>
    <w:rsid w:val="004504D6"/>
    <w:rsid w:val="00456CE2"/>
    <w:rsid w:val="00457470"/>
    <w:rsid w:val="004602A3"/>
    <w:rsid w:val="00464972"/>
    <w:rsid w:val="00465658"/>
    <w:rsid w:val="004658CA"/>
    <w:rsid w:val="0046606B"/>
    <w:rsid w:val="004668E2"/>
    <w:rsid w:val="00470EE4"/>
    <w:rsid w:val="00476293"/>
    <w:rsid w:val="00476685"/>
    <w:rsid w:val="00477307"/>
    <w:rsid w:val="00481214"/>
    <w:rsid w:val="00481C8E"/>
    <w:rsid w:val="00486CE8"/>
    <w:rsid w:val="004A7312"/>
    <w:rsid w:val="004B3006"/>
    <w:rsid w:val="004B6BDF"/>
    <w:rsid w:val="004C28FA"/>
    <w:rsid w:val="004C5601"/>
    <w:rsid w:val="004C58F3"/>
    <w:rsid w:val="004E5134"/>
    <w:rsid w:val="004E68B8"/>
    <w:rsid w:val="005204DF"/>
    <w:rsid w:val="00522641"/>
    <w:rsid w:val="00523199"/>
    <w:rsid w:val="00526266"/>
    <w:rsid w:val="00526DCD"/>
    <w:rsid w:val="00530F76"/>
    <w:rsid w:val="0053285B"/>
    <w:rsid w:val="0053732B"/>
    <w:rsid w:val="0054065E"/>
    <w:rsid w:val="0054532A"/>
    <w:rsid w:val="00545ABB"/>
    <w:rsid w:val="005466C3"/>
    <w:rsid w:val="0056057B"/>
    <w:rsid w:val="00560B36"/>
    <w:rsid w:val="00566396"/>
    <w:rsid w:val="00572EA7"/>
    <w:rsid w:val="005947B2"/>
    <w:rsid w:val="00596C19"/>
    <w:rsid w:val="005A20C2"/>
    <w:rsid w:val="005A338D"/>
    <w:rsid w:val="005A4BCB"/>
    <w:rsid w:val="005B0A3A"/>
    <w:rsid w:val="005B4643"/>
    <w:rsid w:val="005B5FD6"/>
    <w:rsid w:val="005C49FB"/>
    <w:rsid w:val="005D5F29"/>
    <w:rsid w:val="005E4868"/>
    <w:rsid w:val="005E67A5"/>
    <w:rsid w:val="005E6FEA"/>
    <w:rsid w:val="005F669C"/>
    <w:rsid w:val="00602184"/>
    <w:rsid w:val="0060266E"/>
    <w:rsid w:val="00603BCB"/>
    <w:rsid w:val="0060505E"/>
    <w:rsid w:val="006051E4"/>
    <w:rsid w:val="00607627"/>
    <w:rsid w:val="00613222"/>
    <w:rsid w:val="00615213"/>
    <w:rsid w:val="00623F24"/>
    <w:rsid w:val="00626250"/>
    <w:rsid w:val="006308AA"/>
    <w:rsid w:val="00634702"/>
    <w:rsid w:val="0063572F"/>
    <w:rsid w:val="00636F4B"/>
    <w:rsid w:val="00650D52"/>
    <w:rsid w:val="00651BFC"/>
    <w:rsid w:val="00654D3A"/>
    <w:rsid w:val="00655735"/>
    <w:rsid w:val="0066677F"/>
    <w:rsid w:val="00671CF3"/>
    <w:rsid w:val="006778FD"/>
    <w:rsid w:val="00680A17"/>
    <w:rsid w:val="00681AE1"/>
    <w:rsid w:val="00683917"/>
    <w:rsid w:val="006845BC"/>
    <w:rsid w:val="00685875"/>
    <w:rsid w:val="00687156"/>
    <w:rsid w:val="00691227"/>
    <w:rsid w:val="00692E2C"/>
    <w:rsid w:val="006966D4"/>
    <w:rsid w:val="006979F9"/>
    <w:rsid w:val="006A2502"/>
    <w:rsid w:val="006A504C"/>
    <w:rsid w:val="006B2844"/>
    <w:rsid w:val="006B3171"/>
    <w:rsid w:val="006C285D"/>
    <w:rsid w:val="006C563A"/>
    <w:rsid w:val="006C7684"/>
    <w:rsid w:val="006D3772"/>
    <w:rsid w:val="006D40A4"/>
    <w:rsid w:val="006D46B0"/>
    <w:rsid w:val="006D5693"/>
    <w:rsid w:val="006D62EC"/>
    <w:rsid w:val="006D75AF"/>
    <w:rsid w:val="006E18C9"/>
    <w:rsid w:val="006E77BB"/>
    <w:rsid w:val="006F004F"/>
    <w:rsid w:val="006F65FC"/>
    <w:rsid w:val="00701C96"/>
    <w:rsid w:val="00716A63"/>
    <w:rsid w:val="00717053"/>
    <w:rsid w:val="00720732"/>
    <w:rsid w:val="00725275"/>
    <w:rsid w:val="00730780"/>
    <w:rsid w:val="00730F86"/>
    <w:rsid w:val="0073516F"/>
    <w:rsid w:val="007402DE"/>
    <w:rsid w:val="0074091B"/>
    <w:rsid w:val="0074305D"/>
    <w:rsid w:val="00744ADC"/>
    <w:rsid w:val="0075169C"/>
    <w:rsid w:val="007671BB"/>
    <w:rsid w:val="00790AA5"/>
    <w:rsid w:val="00791053"/>
    <w:rsid w:val="007939BB"/>
    <w:rsid w:val="0079717A"/>
    <w:rsid w:val="007A0976"/>
    <w:rsid w:val="007A21CB"/>
    <w:rsid w:val="007B77E6"/>
    <w:rsid w:val="007C644A"/>
    <w:rsid w:val="007D2429"/>
    <w:rsid w:val="007D2EF6"/>
    <w:rsid w:val="007D569A"/>
    <w:rsid w:val="007D70F8"/>
    <w:rsid w:val="007F1F38"/>
    <w:rsid w:val="007F3637"/>
    <w:rsid w:val="00801E2C"/>
    <w:rsid w:val="008078DE"/>
    <w:rsid w:val="00810C4D"/>
    <w:rsid w:val="0081140F"/>
    <w:rsid w:val="008238EC"/>
    <w:rsid w:val="00830E37"/>
    <w:rsid w:val="00832070"/>
    <w:rsid w:val="008340AB"/>
    <w:rsid w:val="008450FB"/>
    <w:rsid w:val="00852F70"/>
    <w:rsid w:val="00854A3C"/>
    <w:rsid w:val="00870348"/>
    <w:rsid w:val="00873F5A"/>
    <w:rsid w:val="008745C0"/>
    <w:rsid w:val="00876876"/>
    <w:rsid w:val="00883933"/>
    <w:rsid w:val="00883F2E"/>
    <w:rsid w:val="0088710E"/>
    <w:rsid w:val="00891444"/>
    <w:rsid w:val="00893D61"/>
    <w:rsid w:val="00896934"/>
    <w:rsid w:val="00897F4C"/>
    <w:rsid w:val="008A091F"/>
    <w:rsid w:val="008A367F"/>
    <w:rsid w:val="008B14CF"/>
    <w:rsid w:val="008B6568"/>
    <w:rsid w:val="008B6576"/>
    <w:rsid w:val="008C3BF2"/>
    <w:rsid w:val="008C4D39"/>
    <w:rsid w:val="008D7CDD"/>
    <w:rsid w:val="008E059E"/>
    <w:rsid w:val="008E1B6E"/>
    <w:rsid w:val="008E424A"/>
    <w:rsid w:val="008E4597"/>
    <w:rsid w:val="008E5279"/>
    <w:rsid w:val="008E5903"/>
    <w:rsid w:val="008F18AB"/>
    <w:rsid w:val="008F7AC8"/>
    <w:rsid w:val="00903088"/>
    <w:rsid w:val="009346D1"/>
    <w:rsid w:val="00936929"/>
    <w:rsid w:val="009378BD"/>
    <w:rsid w:val="009407A6"/>
    <w:rsid w:val="009447E7"/>
    <w:rsid w:val="00946360"/>
    <w:rsid w:val="00947CFF"/>
    <w:rsid w:val="0095445B"/>
    <w:rsid w:val="00955ADD"/>
    <w:rsid w:val="00956C7E"/>
    <w:rsid w:val="0097271D"/>
    <w:rsid w:val="00975442"/>
    <w:rsid w:val="009768E1"/>
    <w:rsid w:val="009851A1"/>
    <w:rsid w:val="00986F76"/>
    <w:rsid w:val="00990350"/>
    <w:rsid w:val="009A0C97"/>
    <w:rsid w:val="009A2CFE"/>
    <w:rsid w:val="009A3A22"/>
    <w:rsid w:val="009B05CC"/>
    <w:rsid w:val="009B0B6B"/>
    <w:rsid w:val="009B755F"/>
    <w:rsid w:val="009C7973"/>
    <w:rsid w:val="009D64B7"/>
    <w:rsid w:val="009E2DE1"/>
    <w:rsid w:val="009E5309"/>
    <w:rsid w:val="009E7072"/>
    <w:rsid w:val="009F27D8"/>
    <w:rsid w:val="009F7672"/>
    <w:rsid w:val="00A00B4B"/>
    <w:rsid w:val="00A028B1"/>
    <w:rsid w:val="00A05B10"/>
    <w:rsid w:val="00A11D50"/>
    <w:rsid w:val="00A12500"/>
    <w:rsid w:val="00A130F3"/>
    <w:rsid w:val="00A20409"/>
    <w:rsid w:val="00A21627"/>
    <w:rsid w:val="00A23807"/>
    <w:rsid w:val="00A32D48"/>
    <w:rsid w:val="00A36298"/>
    <w:rsid w:val="00A45032"/>
    <w:rsid w:val="00A527F3"/>
    <w:rsid w:val="00A571FE"/>
    <w:rsid w:val="00A611A9"/>
    <w:rsid w:val="00A67412"/>
    <w:rsid w:val="00A74FB5"/>
    <w:rsid w:val="00A75817"/>
    <w:rsid w:val="00A77EB6"/>
    <w:rsid w:val="00A80C4E"/>
    <w:rsid w:val="00A90581"/>
    <w:rsid w:val="00A975A8"/>
    <w:rsid w:val="00AC319A"/>
    <w:rsid w:val="00AC3DBF"/>
    <w:rsid w:val="00AE024B"/>
    <w:rsid w:val="00AE4088"/>
    <w:rsid w:val="00AE4963"/>
    <w:rsid w:val="00AE6314"/>
    <w:rsid w:val="00B00761"/>
    <w:rsid w:val="00B03C05"/>
    <w:rsid w:val="00B11D08"/>
    <w:rsid w:val="00B1564D"/>
    <w:rsid w:val="00B159DA"/>
    <w:rsid w:val="00B2153D"/>
    <w:rsid w:val="00B26717"/>
    <w:rsid w:val="00B3066F"/>
    <w:rsid w:val="00B30E29"/>
    <w:rsid w:val="00B32C4C"/>
    <w:rsid w:val="00B44460"/>
    <w:rsid w:val="00B444D6"/>
    <w:rsid w:val="00B47C42"/>
    <w:rsid w:val="00B548C9"/>
    <w:rsid w:val="00B60E2F"/>
    <w:rsid w:val="00B63BE5"/>
    <w:rsid w:val="00B65759"/>
    <w:rsid w:val="00B67B67"/>
    <w:rsid w:val="00B7764E"/>
    <w:rsid w:val="00B85B55"/>
    <w:rsid w:val="00B936EB"/>
    <w:rsid w:val="00B9670F"/>
    <w:rsid w:val="00B97AD7"/>
    <w:rsid w:val="00BB7005"/>
    <w:rsid w:val="00BC6500"/>
    <w:rsid w:val="00BC6AD0"/>
    <w:rsid w:val="00BD2523"/>
    <w:rsid w:val="00BD613A"/>
    <w:rsid w:val="00BE3A7B"/>
    <w:rsid w:val="00BE4CB6"/>
    <w:rsid w:val="00BF1492"/>
    <w:rsid w:val="00BF5578"/>
    <w:rsid w:val="00BF56D4"/>
    <w:rsid w:val="00BF616D"/>
    <w:rsid w:val="00BF6910"/>
    <w:rsid w:val="00C02588"/>
    <w:rsid w:val="00C0759E"/>
    <w:rsid w:val="00C12851"/>
    <w:rsid w:val="00C13185"/>
    <w:rsid w:val="00C17DDA"/>
    <w:rsid w:val="00C20686"/>
    <w:rsid w:val="00C206E6"/>
    <w:rsid w:val="00C245CA"/>
    <w:rsid w:val="00C27BBE"/>
    <w:rsid w:val="00C31BB7"/>
    <w:rsid w:val="00C32FCC"/>
    <w:rsid w:val="00C343E0"/>
    <w:rsid w:val="00C36C39"/>
    <w:rsid w:val="00C44781"/>
    <w:rsid w:val="00C506E7"/>
    <w:rsid w:val="00C510CC"/>
    <w:rsid w:val="00C52DA0"/>
    <w:rsid w:val="00C538EF"/>
    <w:rsid w:val="00C5504F"/>
    <w:rsid w:val="00C55E02"/>
    <w:rsid w:val="00C602D8"/>
    <w:rsid w:val="00C635EC"/>
    <w:rsid w:val="00C74028"/>
    <w:rsid w:val="00C75099"/>
    <w:rsid w:val="00C75238"/>
    <w:rsid w:val="00C773A9"/>
    <w:rsid w:val="00C81779"/>
    <w:rsid w:val="00C9231A"/>
    <w:rsid w:val="00C92559"/>
    <w:rsid w:val="00C92EE8"/>
    <w:rsid w:val="00C95FA1"/>
    <w:rsid w:val="00C97983"/>
    <w:rsid w:val="00CA005C"/>
    <w:rsid w:val="00CA0244"/>
    <w:rsid w:val="00CA7F56"/>
    <w:rsid w:val="00CB3504"/>
    <w:rsid w:val="00CB56C6"/>
    <w:rsid w:val="00CC20DD"/>
    <w:rsid w:val="00CC6DA8"/>
    <w:rsid w:val="00CC6DCF"/>
    <w:rsid w:val="00CD219B"/>
    <w:rsid w:val="00CD257D"/>
    <w:rsid w:val="00CE1CDF"/>
    <w:rsid w:val="00CE4FF3"/>
    <w:rsid w:val="00CF0779"/>
    <w:rsid w:val="00CF6193"/>
    <w:rsid w:val="00D06436"/>
    <w:rsid w:val="00D10AC5"/>
    <w:rsid w:val="00D14A77"/>
    <w:rsid w:val="00D21C2A"/>
    <w:rsid w:val="00D33417"/>
    <w:rsid w:val="00D360B8"/>
    <w:rsid w:val="00D400E4"/>
    <w:rsid w:val="00D42BA7"/>
    <w:rsid w:val="00D4495A"/>
    <w:rsid w:val="00D458CC"/>
    <w:rsid w:val="00D500F4"/>
    <w:rsid w:val="00D60DF3"/>
    <w:rsid w:val="00D65E56"/>
    <w:rsid w:val="00D71718"/>
    <w:rsid w:val="00D73BC8"/>
    <w:rsid w:val="00D7657E"/>
    <w:rsid w:val="00D77380"/>
    <w:rsid w:val="00D8389B"/>
    <w:rsid w:val="00D87838"/>
    <w:rsid w:val="00D90360"/>
    <w:rsid w:val="00D92759"/>
    <w:rsid w:val="00D96341"/>
    <w:rsid w:val="00DA39A5"/>
    <w:rsid w:val="00DA7E65"/>
    <w:rsid w:val="00DB6D1F"/>
    <w:rsid w:val="00DC1B92"/>
    <w:rsid w:val="00DC1CFC"/>
    <w:rsid w:val="00DC2C5D"/>
    <w:rsid w:val="00DC59F1"/>
    <w:rsid w:val="00DC7308"/>
    <w:rsid w:val="00DC74FA"/>
    <w:rsid w:val="00DD1D8E"/>
    <w:rsid w:val="00DE2130"/>
    <w:rsid w:val="00DE3DE9"/>
    <w:rsid w:val="00DE5E1C"/>
    <w:rsid w:val="00DE7918"/>
    <w:rsid w:val="00DF207A"/>
    <w:rsid w:val="00DF48AA"/>
    <w:rsid w:val="00DF58EF"/>
    <w:rsid w:val="00E00194"/>
    <w:rsid w:val="00E0559D"/>
    <w:rsid w:val="00E1131B"/>
    <w:rsid w:val="00E1589E"/>
    <w:rsid w:val="00E2584E"/>
    <w:rsid w:val="00E25BF8"/>
    <w:rsid w:val="00E3045E"/>
    <w:rsid w:val="00E33EDB"/>
    <w:rsid w:val="00E37AAA"/>
    <w:rsid w:val="00E40FF7"/>
    <w:rsid w:val="00E422B6"/>
    <w:rsid w:val="00E551C6"/>
    <w:rsid w:val="00E66314"/>
    <w:rsid w:val="00E701DF"/>
    <w:rsid w:val="00E74568"/>
    <w:rsid w:val="00E82443"/>
    <w:rsid w:val="00E851E9"/>
    <w:rsid w:val="00E86388"/>
    <w:rsid w:val="00E93BAC"/>
    <w:rsid w:val="00E952E9"/>
    <w:rsid w:val="00EB61F8"/>
    <w:rsid w:val="00EC0B94"/>
    <w:rsid w:val="00EC1BEE"/>
    <w:rsid w:val="00EC5741"/>
    <w:rsid w:val="00ED0315"/>
    <w:rsid w:val="00ED09A4"/>
    <w:rsid w:val="00EE52AA"/>
    <w:rsid w:val="00EE6CA5"/>
    <w:rsid w:val="00EF33A0"/>
    <w:rsid w:val="00EF5C57"/>
    <w:rsid w:val="00F06988"/>
    <w:rsid w:val="00F10D1B"/>
    <w:rsid w:val="00F1119D"/>
    <w:rsid w:val="00F271B8"/>
    <w:rsid w:val="00F27E11"/>
    <w:rsid w:val="00F314B3"/>
    <w:rsid w:val="00F357AC"/>
    <w:rsid w:val="00F4575A"/>
    <w:rsid w:val="00F56FE7"/>
    <w:rsid w:val="00F62CB7"/>
    <w:rsid w:val="00F67C7B"/>
    <w:rsid w:val="00F775FE"/>
    <w:rsid w:val="00F83A53"/>
    <w:rsid w:val="00F87213"/>
    <w:rsid w:val="00F93935"/>
    <w:rsid w:val="00F94DD5"/>
    <w:rsid w:val="00F97035"/>
    <w:rsid w:val="00FA2F14"/>
    <w:rsid w:val="00FA3203"/>
    <w:rsid w:val="00FA3D49"/>
    <w:rsid w:val="00FA5AFD"/>
    <w:rsid w:val="00FB28D7"/>
    <w:rsid w:val="00FB2AAE"/>
    <w:rsid w:val="00FB345B"/>
    <w:rsid w:val="00FC006C"/>
    <w:rsid w:val="00FC108A"/>
    <w:rsid w:val="00FD2606"/>
    <w:rsid w:val="00FE7E82"/>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28C0845"/>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99"/>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729695687">
      <w:bodyDiv w:val="1"/>
      <w:marLeft w:val="0"/>
      <w:marRight w:val="0"/>
      <w:marTop w:val="0"/>
      <w:marBottom w:val="0"/>
      <w:divBdr>
        <w:top w:val="none" w:sz="0" w:space="0" w:color="auto"/>
        <w:left w:val="none" w:sz="0" w:space="0" w:color="auto"/>
        <w:bottom w:val="none" w:sz="0" w:space="0" w:color="auto"/>
        <w:right w:val="none" w:sz="0" w:space="0" w:color="auto"/>
      </w:divBdr>
    </w:div>
    <w:div w:id="843738366">
      <w:bodyDiv w:val="1"/>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zburg.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salzburg.info" TargetMode="External"/><Relationship Id="rId4" Type="http://schemas.openxmlformats.org/officeDocument/2006/relationships/settings" Target="settings.xml"/><Relationship Id="rId9" Type="http://schemas.openxmlformats.org/officeDocument/2006/relationships/hyperlink" Target="http://www.salzburg.inf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1ADB3-F0E7-44EC-9430-3019B9D5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9994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4</cp:revision>
  <cp:lastPrinted>2019-02-18T08:19:00Z</cp:lastPrinted>
  <dcterms:created xsi:type="dcterms:W3CDTF">2019-02-20T12:20:00Z</dcterms:created>
  <dcterms:modified xsi:type="dcterms:W3CDTF">2019-06-13T11:26:00Z</dcterms:modified>
</cp:coreProperties>
</file>